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225" w:lineRule="exact"/>
        <w:rPr>
          <w:sz w:val="24"/>
          <w:szCs w:val="24"/>
          <w:color w:val="auto"/>
        </w:rPr>
      </w:pPr>
    </w:p>
    <w:p>
      <w:pPr>
        <w:ind w:left="3920" w:right="2120" w:hanging="3912"/>
        <w:spacing w:after="0" w:line="263" w:lineRule="auto"/>
        <w:tabs>
          <w:tab w:leader="none" w:pos="32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For the fiscal year ended </w:t>
      </w:r>
      <w:r>
        <w:rPr>
          <w:rFonts w:ascii="Times New Roman" w:cs="Times New Roman" w:eastAsia="Times New Roman" w:hAnsi="Times New Roman"/>
          <w:sz w:val="18"/>
          <w:szCs w:val="18"/>
          <w:b w:val="1"/>
          <w:bCs w:val="1"/>
          <w:u w:val="single" w:color="auto"/>
          <w:color w:val="auto"/>
        </w:rPr>
        <w:t>December 31, 2024</w:t>
      </w: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3180" w:type="dxa"/>
        <w:tblCellMar>
          <w:top w:w="0" w:type="dxa"/>
          <w:left w:w="0" w:type="dxa"/>
          <w:bottom w:w="0" w:type="dxa"/>
          <w:right w:w="0" w:type="dxa"/>
        </w:tblCellMar>
      </w:tblPr>
      <w:tr>
        <w:trPr>
          <w:trHeight w:val="207"/>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w:t>
            </w:r>
          </w:p>
        </w:tc>
        <w:tc>
          <w:tcPr>
            <w:tcW w:w="840" w:type="dxa"/>
            <w:vAlign w:val="bottom"/>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0" w:type="dxa"/>
            <w:vAlign w:val="bottom"/>
          </w:tcPr>
          <w:p>
            <w:pPr>
              <w:spacing w:after="0"/>
              <w:rPr>
                <w:sz w:val="1"/>
                <w:szCs w:val="1"/>
                <w:color w:val="auto"/>
              </w:rPr>
            </w:pPr>
          </w:p>
        </w:tc>
      </w:tr>
      <w:tr>
        <w:trPr>
          <w:trHeight w:val="130"/>
        </w:trPr>
        <w:tc>
          <w:tcPr>
            <w:tcW w:w="2600" w:type="dxa"/>
            <w:vAlign w:val="bottom"/>
            <w:vMerge w:val="restart"/>
          </w:tcPr>
          <w:p>
            <w:pPr>
              <w:ind w:left="1400"/>
              <w:spacing w:after="0"/>
              <w:rPr>
                <w:sz w:val="20"/>
                <w:szCs w:val="20"/>
                <w:color w:val="auto"/>
              </w:rPr>
            </w:pPr>
            <w:r>
              <w:rPr>
                <w:rFonts w:ascii="Times New Roman" w:cs="Times New Roman" w:eastAsia="Times New Roman" w:hAnsi="Times New Roman"/>
                <w:sz w:val="18"/>
                <w:szCs w:val="18"/>
                <w:b w:val="1"/>
                <w:bCs w:val="1"/>
                <w:color w:val="auto"/>
              </w:rPr>
              <w:t>from</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6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3228340</wp:posOffset>
            </wp:positionH>
            <wp:positionV relativeFrom="paragraph">
              <wp:posOffset>-125095</wp:posOffset>
            </wp:positionV>
            <wp:extent cx="1842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6" w:lineRule="exact"/>
        <w:rPr>
          <w:sz w:val="24"/>
          <w:szCs w:val="24"/>
          <w:color w:val="auto"/>
        </w:rPr>
      </w:pPr>
    </w:p>
    <w:p>
      <w:pPr>
        <w:ind w:left="1820" w:right="1320" w:hanging="1812"/>
        <w:spacing w:after="0" w:line="256" w:lineRule="auto"/>
        <w:tabs>
          <w:tab w:leader="none" w:pos="337"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 Date of event requiring this shell company report:</w:t>
      </w: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001-42128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3674110</wp:posOffset>
            </wp:positionH>
            <wp:positionV relativeFrom="paragraph">
              <wp:posOffset>-125095</wp:posOffset>
            </wp:positionV>
            <wp:extent cx="4629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Telix Pharmaceuticals Limited</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 and translation of Registrant’s name into English)</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 Flemington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 Melbourne, Victoria 3051, Australia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Christian Behrenbruch</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 Flemington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 Melbourne, Victoria 3051, Australia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+61 3 9093 3855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7"/>
        </w:trPr>
        <w:tc>
          <w:tcPr>
            <w:tcW w:w="362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American depositary shares, each representing</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TLX</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c>
          <w:tcPr>
            <w:tcW w:w="0" w:type="dxa"/>
            <w:vAlign w:val="bottom"/>
          </w:tcPr>
          <w:p>
            <w:pPr>
              <w:spacing w:after="0"/>
              <w:rPr>
                <w:sz w:val="1"/>
                <w:szCs w:val="1"/>
                <w:color w:val="auto"/>
              </w:rPr>
            </w:pPr>
          </w:p>
        </w:tc>
      </w:tr>
      <w:tr>
        <w:trPr>
          <w:trHeight w:val="21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one ordinary share, no par value Ordinary</w:t>
            </w:r>
          </w:p>
        </w:tc>
        <w:tc>
          <w:tcPr>
            <w:tcW w:w="220" w:type="dxa"/>
            <w:vAlign w:val="bottom"/>
            <w:vMerge w:val="continue"/>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no par value*</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right="620" w:firstLine="8"/>
        <w:spacing w:after="0" w:line="260" w:lineRule="auto"/>
        <w:tabs>
          <w:tab w:leader="none" w:pos="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not for trading, but only in connection with the listing of the American Depositary Shares, pursuant to the requirements of the Securities &amp; Exchange Commission</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or to be registered pursuant to Section 12(g) of the Act: </w:t>
      </w: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for which there is a reporting obligation pursuant to Section 15(d) of the Act: </w:t>
      </w:r>
      <w:r>
        <w:rPr>
          <w:rFonts w:ascii="Times New Roman" w:cs="Times New Roman" w:eastAsia="Times New Roman" w:hAnsi="Times New Roman"/>
          <w:sz w:val="18"/>
          <w:szCs w:val="18"/>
          <w:b w:val="1"/>
          <w:bCs w:val="1"/>
          <w:color w:val="auto"/>
        </w:rPr>
        <w:t>None.</w:t>
      </w:r>
    </w:p>
    <w:p>
      <w:pPr>
        <w:spacing w:after="0" w:line="9" w:lineRule="exact"/>
        <w:rPr>
          <w:sz w:val="24"/>
          <w:szCs w:val="24"/>
          <w:color w:val="auto"/>
        </w:rPr>
      </w:pPr>
    </w:p>
    <w:p>
      <w:pPr>
        <w:ind w:right="380"/>
        <w:spacing w:after="0" w:line="247"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 The number of ordinary shares outstanding as of December 31, 2024 was 334,724,485</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280"/>
        <w:spacing w:after="0" w:line="216" w:lineRule="exact"/>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300"/>
        <w:spacing w:after="0" w:line="216" w:lineRule="exact"/>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2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42" w:lineRule="exact"/>
        <w:rPr>
          <w:sz w:val="24"/>
          <w:szCs w:val="24"/>
          <w:color w:val="auto"/>
        </w:rPr>
      </w:pPr>
    </w:p>
    <w:p>
      <w:pPr>
        <w:spacing w:after="0" w:line="207" w:lineRule="exact"/>
        <w:tabs>
          <w:tab w:leader="none" w:pos="2240" w:val="left"/>
          <w:tab w:leader="none" w:pos="4940" w:val="left"/>
          <w:tab w:leader="none" w:pos="7180" w:val="left"/>
          <w:tab w:leader="none" w:pos="109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Non-accelerated filer</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180"/>
        <w:spacing w:after="0" w:line="232" w:lineRule="exact"/>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4"/>
          <w:szCs w:val="24"/>
          <w:color w:val="auto"/>
        </w:rPr>
      </w:pPr>
    </w:p>
    <w:p>
      <w:pPr>
        <w:ind w:right="400" w:firstLine="8"/>
        <w:spacing w:after="0" w:line="282"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516" w:right="339" w:bottom="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U.S. GAAP  </w:t>
      </w:r>
      <w:r>
        <w:rPr>
          <w:rFonts w:ascii="MS PGothic" w:cs="MS PGothic" w:eastAsia="MS PGothic" w:hAnsi="MS PGothic"/>
          <w:sz w:val="18"/>
          <w:szCs w:val="18"/>
          <w:color w:val="auto"/>
        </w:rPr>
        <w:t>☐</w:t>
      </w:r>
    </w:p>
    <w:p>
      <w:pPr>
        <w:spacing w:after="0" w:line="6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Other  </w:t>
      </w:r>
      <w:r>
        <w:rPr>
          <w:rFonts w:ascii="MS PGothic" w:cs="MS PGothic" w:eastAsia="MS PGothic" w:hAnsi="MS PGothic"/>
          <w:sz w:val="18"/>
          <w:szCs w:val="18"/>
          <w:color w:val="auto"/>
        </w:rPr>
        <w:t>☐</w:t>
      </w:r>
    </w:p>
    <w:p>
      <w:pPr>
        <w:spacing w:after="0" w:line="212" w:lineRule="exact"/>
        <w:rPr>
          <w:sz w:val="20"/>
          <w:szCs w:val="20"/>
          <w:color w:val="auto"/>
        </w:rPr>
      </w:pPr>
    </w:p>
    <w:p>
      <w:pPr>
        <w:ind w:right="440"/>
        <w:spacing w:after="0" w:line="239" w:lineRule="exact"/>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If this is an annual report, 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40" w:type="dxa"/>
            <w:vAlign w:val="bottom"/>
            <w:gridSpan w:val="15"/>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KEY INFORMATION</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4A.</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 AND LISTING</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16A.</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16B.</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CODE OF ETHICS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16C.</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16D.</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16E.</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16F.</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16G.</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16H.</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16I.</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16J.</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INSIDER TRADING POLICIES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16K.</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17.</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18.</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19.</w:t>
            </w:r>
          </w:p>
        </w:tc>
        <w:tc>
          <w:tcPr>
            <w:tcW w:w="8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114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Telix Pharmaceuticals Limited was incorporated under the laws of Australia in January 2017. Our ordinary shares have been listed on the Australian Securities Exchange, or ASX, since November 2017, and since November 2024, have been listed on the Nasdaq Global Select Market in the form of American depositary shares, or ADSs, with each ADS representing one of our ordinary shares. JP Morgan Chase Bank, N.A., acts as depositary for the ADSs. Throughout this annual report, all references to “ADRs” mean the American depositary receipts that evidence the ADSs.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reporting currency is the Australian dollar, or A$. All amounts presented in this annual report are presented in Australian. dollars, or A$, unless otherwise indicated. Solely for the convenience of the reader, this annual report contains translations of certain Australian dollar amounts into U.S. dollars at specified rates. No representation is made that Australian dollar amounts referred to in this annual report could have been or could be converted into U.S. dollars at such rates or any other rates. Any discrepancies in any table between totals and sums of the amounts listed are due to rounding.</w:t>
      </w:r>
    </w:p>
    <w:p>
      <w:pPr>
        <w:spacing w:after="0" w:line="18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and related notes included elsewhere in this annual report have been prepared in accordance with International Financial Reporting Standards as issued by the International Accounting Standards Board, (“IFRS Accounting Standards”), which differ in certain significant respects from generally accepted accounting principles in the United States, or U.S. GAAP.</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also maintain a website at www.telixpharma.com. The information contained on our website or available through our website is not incorporated by reference into and should not be considered a part of this annual report, and any references to our website throughout this annual report are inactive textual references only.</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indicates otherwise, all references herein to “Telix,” “Telix Pharmaceuticals,” the “Company,” “our company,” “we,” “us,” “our” and similar references refer to Telix Pharmaceuticals Limited and its consolidated subsidiaries, taken as a whole.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annual report contains estimates and information concerning our industry and our business, including estimated market size and projected growth rates of the markets for our product candidates. Unless otherwise expressly stated, we obtained this industry, business, market, medical and other information from reports, research surveys, studies and similar data prepared by third parties, industry, medical and general publications, government data and similar sources.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information involves a number of assumptions and is based on limited available information. Although we are responsible for all of the disclosure contained in this annual report and we believe the third-party market position, market opportunity and market size data included in this annual report are reliable, we have not independently verified the accuracy or completeness of this third-party data. In addition, projections, assumptions and estimates of our future performance and the future performance of the industry in which we operate are necessarily subject to a high degree of uncertainty and risk due to a variety of factors, including those described in “Item 3. Key Information — D. Risk Factors.” These and other factors could cause results to differ materially from those expressed in these publications and reports.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“Telix Pharmaceuticals,” the Telix logo and other trademarks or service marks of Telix appearing in this annual report are the property of Telix or its subsidiaries. Solely for convenience, the trademarks, service marks and trade names referred to in this annual report are listed without the ® and ™ symbols, but such references should not be construed as any indicator that their respective owners will not assert, to the fullest extent under applicable law, their right thereto. All other trademarks, trade names and service marks appearing in this annual report are the property of their respective owners.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This annual report contains forward-looking statements about us and our industry that involve substantial risks and uncertainties. All statements other than statements of historical facts contained in this annual report, including statements regarding our future results of operations, financial condition, business strategy, prospective products, product approvals, research and development costs, future revenue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known and unknown risks, uncertainties, other factors and assumptions, including the risks described in “Item 3. Key Information — D. Risk Factors” and elsewhere in this annual report, regarding, among other things:</w:t>
      </w:r>
    </w:p>
    <w:p>
      <w:pPr>
        <w:spacing w:after="0" w:line="188" w:lineRule="exact"/>
        <w:rPr>
          <w:sz w:val="20"/>
          <w:szCs w:val="20"/>
          <w:color w:val="auto"/>
        </w:rPr>
      </w:pPr>
    </w:p>
    <w:p>
      <w:pPr>
        <w:ind w:left="260" w:hanging="252"/>
        <w:spacing w:after="0" w:line="261" w:lineRule="auto"/>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ongoing commercialization of Illuccix® and our preparation for the commercialization of our products and product candidates, if or when they are approved;</w:t>
      </w:r>
    </w:p>
    <w:p>
      <w:pPr>
        <w:ind w:left="260" w:right="160" w:hanging="252"/>
        <w:spacing w:after="0" w:line="250" w:lineRule="auto"/>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review of submissions for regulatory approval of our product candidates, including review of our accepted submissions for Gozellix® (TLX007-CDx) and Pixclara® (TLX101-CDx), our resubmission for Zircaix® (TLX250-CDx), and our ability to obtain and maintain such regulatory approvals;</w:t>
      </w:r>
    </w:p>
    <w:p>
      <w:pPr>
        <w:spacing w:after="0" w:line="1" w:lineRule="exact"/>
        <w:rPr>
          <w:rFonts w:ascii="Times New Roman" w:cs="Times New Roman" w:eastAsia="Times New Roman" w:hAnsi="Times New Roman"/>
          <w:sz w:val="18"/>
          <w:szCs w:val="18"/>
          <w:color w:val="auto"/>
        </w:rPr>
      </w:pPr>
    </w:p>
    <w:p>
      <w:pPr>
        <w:ind w:left="260" w:right="20" w:hanging="252"/>
        <w:spacing w:after="0" w:line="250" w:lineRule="auto"/>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initiation, timing, progress and results of our ongoing and planned clinical trials, including the timing of dosing of patients, enrollment and completion of these trials, including multi-national trials, and the anticipated results from these trials;</w:t>
      </w:r>
    </w:p>
    <w:p>
      <w:pPr>
        <w:ind w:left="260" w:hanging="252"/>
        <w:spacing w:after="0" w:line="250" w:lineRule="auto"/>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sales, marketing and distribution capabilities and strategies, including for the commercialization and manufacturing of Illuccix and any future products;</w:t>
      </w:r>
    </w:p>
    <w:p>
      <w:pPr>
        <w:ind w:left="260" w:hanging="252"/>
        <w:spacing w:after="0"/>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ability to obtain an adequate supply at reasonable costs of raw materials we may incorporate into our products and product candidates;</w:t>
      </w:r>
    </w:p>
    <w:p>
      <w:pPr>
        <w:spacing w:after="0" w:line="9" w:lineRule="exact"/>
        <w:rPr>
          <w:rFonts w:ascii="Times New Roman" w:cs="Times New Roman" w:eastAsia="Times New Roman" w:hAnsi="Times New Roman"/>
          <w:sz w:val="18"/>
          <w:szCs w:val="18"/>
          <w:color w:val="0A2E94"/>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ability to address the fulfillment and logistical challenges posed by the time-limited stabilization of our products and product candidates;</w:t>
      </w:r>
    </w:p>
    <w:p>
      <w:pPr>
        <w:spacing w:after="0" w:line="9" w:lineRule="exact"/>
        <w:rPr>
          <w:rFonts w:ascii="Times New Roman" w:cs="Times New Roman" w:eastAsia="Times New Roman" w:hAnsi="Times New Roman"/>
          <w:sz w:val="18"/>
          <w:szCs w:val="18"/>
          <w:color w:val="0A2E94"/>
        </w:rPr>
      </w:pPr>
    </w:p>
    <w:p>
      <w:pPr>
        <w:ind w:left="260" w:hanging="252"/>
        <w:spacing w:after="0" w:line="250" w:lineRule="auto"/>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commercialization, marketing and manufacturing capabilities and strategy, including the timing and costs of expanding our manufacturing capabilities;</w:t>
      </w:r>
    </w:p>
    <w:p>
      <w:pPr>
        <w:ind w:left="260" w:hanging="252"/>
        <w:spacing w:after="0"/>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rate and degree of market acceptance and clinical utility of our products and product candidates;</w:t>
      </w:r>
    </w:p>
    <w:p>
      <w:pPr>
        <w:spacing w:after="0" w:line="9" w:lineRule="exact"/>
        <w:rPr>
          <w:rFonts w:ascii="Times New Roman" w:cs="Times New Roman" w:eastAsia="Times New Roman" w:hAnsi="Times New Roman"/>
          <w:sz w:val="18"/>
          <w:szCs w:val="18"/>
          <w:color w:val="0A2E94"/>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pricing and reimbursement of our products and product candidates, if and after they have been approved;</w:t>
      </w:r>
    </w:p>
    <w:p>
      <w:pPr>
        <w:spacing w:after="0" w:line="9" w:lineRule="exact"/>
        <w:rPr>
          <w:rFonts w:ascii="Times New Roman" w:cs="Times New Roman" w:eastAsia="Times New Roman" w:hAnsi="Times New Roman"/>
          <w:sz w:val="18"/>
          <w:szCs w:val="18"/>
          <w:color w:val="0A2E94"/>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estimates of our expenses, future revenues and capital requirements;</w:t>
      </w:r>
    </w:p>
    <w:p>
      <w:pPr>
        <w:spacing w:after="0" w:line="9" w:lineRule="exact"/>
        <w:rPr>
          <w:rFonts w:ascii="Times New Roman" w:cs="Times New Roman" w:eastAsia="Times New Roman" w:hAnsi="Times New Roman"/>
          <w:sz w:val="18"/>
          <w:szCs w:val="18"/>
          <w:color w:val="0A2E94"/>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financial performance;</w:t>
      </w:r>
    </w:p>
    <w:p>
      <w:pPr>
        <w:spacing w:after="0" w:line="9" w:lineRule="exact"/>
        <w:rPr>
          <w:rFonts w:ascii="Times New Roman" w:cs="Times New Roman" w:eastAsia="Times New Roman" w:hAnsi="Times New Roman"/>
          <w:sz w:val="18"/>
          <w:szCs w:val="18"/>
          <w:color w:val="0A2E94"/>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developments relating to our competitors and industry;</w:t>
      </w:r>
    </w:p>
    <w:p>
      <w:pPr>
        <w:spacing w:after="0" w:line="9" w:lineRule="exact"/>
        <w:rPr>
          <w:rFonts w:ascii="Times New Roman" w:cs="Times New Roman" w:eastAsia="Times New Roman" w:hAnsi="Times New Roman"/>
          <w:sz w:val="18"/>
          <w:szCs w:val="18"/>
          <w:color w:val="0A2E94"/>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success of our collaborations and partnerships with third parties;</w:t>
      </w:r>
    </w:p>
    <w:p>
      <w:pPr>
        <w:spacing w:after="0" w:line="9" w:lineRule="exact"/>
        <w:rPr>
          <w:rFonts w:ascii="Times New Roman" w:cs="Times New Roman" w:eastAsia="Times New Roman" w:hAnsi="Times New Roman"/>
          <w:sz w:val="18"/>
          <w:szCs w:val="18"/>
          <w:color w:val="0A2E94"/>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ability to maintain, expand, protect and enforce our regulatory exclusivity and intellectual property, or IP, portfolio;</w:t>
      </w:r>
    </w:p>
    <w:p>
      <w:pPr>
        <w:spacing w:after="0" w:line="9" w:lineRule="exact"/>
        <w:rPr>
          <w:rFonts w:ascii="Times New Roman" w:cs="Times New Roman" w:eastAsia="Times New Roman" w:hAnsi="Times New Roman"/>
          <w:sz w:val="18"/>
          <w:szCs w:val="18"/>
          <w:color w:val="0A2E94"/>
        </w:rPr>
      </w:pPr>
    </w:p>
    <w:p>
      <w:pPr>
        <w:ind w:left="260" w:right="20" w:hanging="252"/>
        <w:spacing w:after="0" w:line="250" w:lineRule="auto"/>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expectations regarding our ability to obtain and maintain regulatory exclusivity and intellectual property protection for our products and product candidates;</w:t>
      </w:r>
    </w:p>
    <w:p>
      <w:pPr>
        <w:ind w:left="260" w:hanging="252"/>
        <w:spacing w:after="0"/>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ability to successfully integrate the businesses that we have acquired or may acquire in the future;</w:t>
      </w:r>
    </w:p>
    <w:p>
      <w:pPr>
        <w:spacing w:after="0" w:line="9" w:lineRule="exact"/>
        <w:rPr>
          <w:rFonts w:ascii="Times New Roman" w:cs="Times New Roman" w:eastAsia="Times New Roman" w:hAnsi="Times New Roman"/>
          <w:sz w:val="18"/>
          <w:szCs w:val="18"/>
          <w:color w:val="0A2E94"/>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estimates regarding expenses, future revenues, capital requirements and needs for additional financing;</w:t>
      </w:r>
    </w:p>
    <w:p>
      <w:pPr>
        <w:spacing w:after="0" w:line="9" w:lineRule="exact"/>
        <w:rPr>
          <w:rFonts w:ascii="Times New Roman" w:cs="Times New Roman" w:eastAsia="Times New Roman" w:hAnsi="Times New Roman"/>
          <w:sz w:val="18"/>
          <w:szCs w:val="18"/>
          <w:color w:val="0A2E94"/>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legal and regulatory developments in the United States, Australia and other jurisdictions;</w:t>
      </w:r>
    </w:p>
    <w:p>
      <w:pPr>
        <w:spacing w:after="0" w:line="9" w:lineRule="exact"/>
        <w:rPr>
          <w:rFonts w:ascii="Times New Roman" w:cs="Times New Roman" w:eastAsia="Times New Roman" w:hAnsi="Times New Roman"/>
          <w:sz w:val="18"/>
          <w:szCs w:val="18"/>
          <w:color w:val="0A2E94"/>
        </w:rPr>
      </w:pPr>
    </w:p>
    <w:p>
      <w:pPr>
        <w:ind w:left="260" w:hanging="252"/>
        <w:spacing w:after="0" w:line="250" w:lineRule="auto"/>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ability to remain compliant with the respective listing rules and standards of the Australian Securities Exchange, or ASX, Singapore Exchange Securities Trading Limited, or SGX, and the Nasdaq Global Select Market, or Nasdaq;</w:t>
      </w:r>
    </w:p>
    <w:p>
      <w:pPr>
        <w:ind w:left="260" w:hanging="252"/>
        <w:spacing w:after="0"/>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ability to attract and retain key scientific or management personnel;</w:t>
      </w:r>
    </w:p>
    <w:p>
      <w:pPr>
        <w:spacing w:after="0" w:line="9" w:lineRule="exact"/>
        <w:rPr>
          <w:rFonts w:ascii="Times New Roman" w:cs="Times New Roman" w:eastAsia="Times New Roman" w:hAnsi="Times New Roman"/>
          <w:sz w:val="18"/>
          <w:szCs w:val="18"/>
          <w:color w:val="0A2E94"/>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success of competing therapies that are or may become available;</w:t>
      </w:r>
    </w:p>
    <w:p>
      <w:pPr>
        <w:spacing w:after="0" w:line="9" w:lineRule="exact"/>
        <w:rPr>
          <w:rFonts w:ascii="Times New Roman" w:cs="Times New Roman" w:eastAsia="Times New Roman" w:hAnsi="Times New Roman"/>
          <w:sz w:val="18"/>
          <w:szCs w:val="18"/>
          <w:color w:val="0A2E94"/>
        </w:rPr>
      </w:pPr>
    </w:p>
    <w:p>
      <w:pPr>
        <w:ind w:left="260" w:right="20" w:hanging="252"/>
        <w:spacing w:after="0" w:line="250" w:lineRule="auto"/>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expectations regarding the period during which we qualify as an emerging growth company, or EGC, under the Jumpstart Our Business Startups Act of 2012, or the JOBS Act;</w:t>
      </w:r>
    </w:p>
    <w:p>
      <w:pPr>
        <w:ind w:left="260" w:hanging="252"/>
        <w:spacing w:after="0"/>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volatility of currency exchange rates;</w:t>
      </w:r>
    </w:p>
    <w:p>
      <w:pPr>
        <w:spacing w:after="0" w:line="9" w:lineRule="exact"/>
        <w:rPr>
          <w:rFonts w:ascii="Times New Roman" w:cs="Times New Roman" w:eastAsia="Times New Roman" w:hAnsi="Times New Roman"/>
          <w:sz w:val="18"/>
          <w:szCs w:val="18"/>
          <w:color w:val="0A2E94"/>
        </w:rPr>
      </w:pPr>
    </w:p>
    <w:p>
      <w:pPr>
        <w:ind w:left="260" w:hanging="252"/>
        <w:spacing w:after="0" w:line="250" w:lineRule="auto"/>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impact of and changes in governmental regulations or the enforcement thereof, tax laws and rates, accounting guidance and similar matters in regions in which we operate or will operate in the future; and</w:t>
      </w:r>
    </w:p>
    <w:p>
      <w:pPr>
        <w:ind w:left="260" w:hanging="252"/>
        <w:spacing w:after="0"/>
        <w:tabs>
          <w:tab w:leader="none" w:pos="260" w:val="left"/>
        </w:tabs>
        <w:numPr>
          <w:ilvl w:val="0"/>
          <w:numId w:val="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other risks and uncertainties, including those listed under “Item 3. Key Information — D. Risk Factors.”</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These risks are not exhaustive. Other sections of this annual report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operating results. We undertake no obligation to update any forward-looking statements made in this annual report to reflect events or circumstances after the date of this annual report or to reflect new information or the occurrence of unanticipated events, except as required by law.</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statements are based on information available to us as of the date of this annual report.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and have filed as exhibits to the annual report with the understanding that our actual future results, performance and achievements may be different from what we expect. 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IDENTITY OF DIRECTORS, SENIOR MANAGEMENT AND ADVISERS</w:t>
      </w:r>
    </w:p>
    <w:p>
      <w:pPr>
        <w:spacing w:after="0" w:line="225"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20" w:hanging="412"/>
        <w:spacing w:after="0"/>
        <w:tabs>
          <w:tab w:leader="none" w:pos="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Advisers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20" w:hanging="412"/>
        <w:spacing w:after="0"/>
        <w:tabs>
          <w:tab w:leader="none" w:pos="4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5" w:lineRule="exact"/>
        <w:rPr>
          <w:sz w:val="20"/>
          <w:szCs w:val="20"/>
          <w:color w:val="auto"/>
        </w:rPr>
      </w:pPr>
    </w:p>
    <w:p>
      <w:pPr>
        <w:ind w:left="420" w:hanging="412"/>
        <w:spacing w:after="0"/>
        <w:tabs>
          <w:tab w:leader="none" w:pos="4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 Statistics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20" w:hanging="412"/>
        <w:spacing w:after="0"/>
        <w:tabs>
          <w:tab w:leader="none" w:pos="4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and Expected Timetable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5" w:lineRule="exact"/>
        <w:rPr>
          <w:sz w:val="20"/>
          <w:szCs w:val="20"/>
          <w:color w:val="auto"/>
        </w:rPr>
      </w:pPr>
    </w:p>
    <w:p>
      <w:pPr>
        <w:ind w:left="420" w:hanging="412"/>
        <w:spacing w:after="0"/>
        <w:tabs>
          <w:tab w:leader="none" w:pos="4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Reasons for the Offer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You should consider and read carefully all of the risks and uncertainties described below, as well as other information included in this annual report, including our consolidated financial statements and related notes included elsewhere in this annual report, before making an investment decision. If any of the following risks actually occur, it could harm our business, prospects, results of operations and financial condition. In such event, the trading price of our ordinary shares and the ADSs could decline, and you might lose all or part of your investment.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340" w:right="460" w:hanging="238"/>
        <w:spacing w:after="0" w:line="261" w:lineRule="auto"/>
        <w:tabs>
          <w:tab w:leader="none" w:pos="340" w:val="left"/>
        </w:tabs>
        <w:numPr>
          <w:ilvl w:val="0"/>
          <w:numId w:val="1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have a history of significant net losses, our operating expenses may increase in the future, and we may not be able to maintain profitability in future periods.</w:t>
      </w:r>
    </w:p>
    <w:p>
      <w:pPr>
        <w:ind w:left="340" w:right="440" w:hanging="238"/>
        <w:spacing w:after="0" w:line="250" w:lineRule="auto"/>
        <w:tabs>
          <w:tab w:leader="none" w:pos="340" w:val="left"/>
        </w:tabs>
        <w:numPr>
          <w:ilvl w:val="0"/>
          <w:numId w:val="1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may need to raise capital to achieve our business objectives if we are unable to fund our operations with our cash flows from the sale of our products. If we are unable to raise capital when needed or on acceptable terms, we would be forced to delay, reduce or eliminate our research and development programs and/or commercialization efforts.</w:t>
      </w:r>
    </w:p>
    <w:p>
      <w:pPr>
        <w:spacing w:after="0" w:line="1"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1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may not be able to effectively integrate the businesses that we have acquired and/or may acquire in the future.</w:t>
      </w:r>
    </w:p>
    <w:p>
      <w:pPr>
        <w:spacing w:after="0" w:line="9" w:lineRule="exact"/>
        <w:rPr>
          <w:rFonts w:ascii="Times New Roman" w:cs="Times New Roman" w:eastAsia="Times New Roman" w:hAnsi="Times New Roman"/>
          <w:sz w:val="18"/>
          <w:szCs w:val="18"/>
          <w:color w:val="0A2E94"/>
        </w:rPr>
      </w:pPr>
    </w:p>
    <w:p>
      <w:pPr>
        <w:jc w:val="both"/>
        <w:ind w:left="340" w:hanging="238"/>
        <w:spacing w:after="0" w:line="250" w:lineRule="auto"/>
        <w:tabs>
          <w:tab w:leader="none" w:pos="340" w:val="left"/>
        </w:tabs>
        <w:numPr>
          <w:ilvl w:val="0"/>
          <w:numId w:val="1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business is substantially dependent on the commercial success of Illuccix and our product candidates. If we are unable to successfully commercialize Illuccix as currently approved or to successfully commercialize our product candidates, our business, financial condition and results of operations will be materially harmed.</w:t>
      </w:r>
    </w:p>
    <w:p>
      <w:pPr>
        <w:spacing w:after="0" w:line="1" w:lineRule="exact"/>
        <w:rPr>
          <w:rFonts w:ascii="Times New Roman" w:cs="Times New Roman" w:eastAsia="Times New Roman" w:hAnsi="Times New Roman"/>
          <w:sz w:val="18"/>
          <w:szCs w:val="18"/>
          <w:color w:val="0A2E94"/>
        </w:rPr>
      </w:pPr>
    </w:p>
    <w:p>
      <w:pPr>
        <w:ind w:left="340" w:right="80" w:hanging="238"/>
        <w:spacing w:after="0" w:line="250" w:lineRule="auto"/>
        <w:tabs>
          <w:tab w:leader="none" w:pos="340" w:val="left"/>
        </w:tabs>
        <w:numPr>
          <w:ilvl w:val="0"/>
          <w:numId w:val="1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Clinical development is a lengthy and expensive process, with uncertain timelines and outcomes. 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1" w:lineRule="exact"/>
        <w:rPr>
          <w:rFonts w:ascii="Times New Roman" w:cs="Times New Roman" w:eastAsia="Times New Roman" w:hAnsi="Times New Roman"/>
          <w:sz w:val="18"/>
          <w:szCs w:val="18"/>
          <w:color w:val="0A2E94"/>
        </w:rPr>
      </w:pPr>
    </w:p>
    <w:p>
      <w:pPr>
        <w:ind w:left="340" w:right="100" w:hanging="238"/>
        <w:spacing w:after="0" w:line="250" w:lineRule="auto"/>
        <w:tabs>
          <w:tab w:leader="none" w:pos="340" w:val="left"/>
        </w:tabs>
        <w:numPr>
          <w:ilvl w:val="0"/>
          <w:numId w:val="1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If we experience delays or difficulties in enrolling patients in our ongoing or planned clinical trials, our receipt of necessary regulatory approval could be delayed or prevented.</w:t>
      </w:r>
    </w:p>
    <w:p>
      <w:pPr>
        <w:ind w:left="340" w:right="100" w:hanging="238"/>
        <w:spacing w:after="0" w:line="250" w:lineRule="auto"/>
        <w:tabs>
          <w:tab w:leader="none" w:pos="340" w:val="left"/>
        </w:tabs>
        <w:numPr>
          <w:ilvl w:val="0"/>
          <w:numId w:val="1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results of previous clinical trials may not be predictive of future trial results, and preliminary, interim or top-line data may be subject to change or qualification based on the complete analyses of data and, therefore, may not be predictive of the final results of a trial.</w:t>
      </w:r>
    </w:p>
    <w:p>
      <w:pPr>
        <w:ind w:left="340" w:right="420" w:hanging="238"/>
        <w:spacing w:after="0" w:line="250" w:lineRule="auto"/>
        <w:tabs>
          <w:tab w:leader="none" w:pos="340" w:val="left"/>
        </w:tabs>
        <w:numPr>
          <w:ilvl w:val="0"/>
          <w:numId w:val="1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Due to their radioactive nature, Illuccix and our product candidates have time-limited stability, and as a result, we may encounter difficulties with fulfillment and logistics.</w:t>
      </w:r>
    </w:p>
    <w:p>
      <w:pPr>
        <w:ind w:left="340" w:right="20" w:hanging="238"/>
        <w:spacing w:after="0" w:line="250" w:lineRule="auto"/>
        <w:tabs>
          <w:tab w:leader="none" w:pos="340" w:val="left"/>
        </w:tabs>
        <w:numPr>
          <w:ilvl w:val="0"/>
          <w:numId w:val="1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ind w:left="340" w:right="460" w:hanging="238"/>
        <w:spacing w:after="0" w:line="250" w:lineRule="auto"/>
        <w:tabs>
          <w:tab w:leader="none" w:pos="340" w:val="left"/>
        </w:tabs>
        <w:numPr>
          <w:ilvl w:val="0"/>
          <w:numId w:val="1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commercial success of Illuccix and our product candidates, if approved, will depend upon public perception of radiopharmaceuticals and the degree of their market acceptance by physicians, patients, healthcare payors and others in the medical community.</w:t>
      </w:r>
    </w:p>
    <w:p>
      <w:pPr>
        <w:ind w:left="340" w:hanging="238"/>
        <w:spacing w:after="0"/>
        <w:tabs>
          <w:tab w:leader="none" w:pos="340" w:val="left"/>
        </w:tabs>
        <w:numPr>
          <w:ilvl w:val="0"/>
          <w:numId w:val="1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may be unable to generate and/or obtain a sufficient supply of radioisotopes to support clinical development or manufacturing at commercial scale.</w:t>
      </w:r>
    </w:p>
    <w:p>
      <w:pPr>
        <w:spacing w:after="0" w:line="9" w:lineRule="exact"/>
        <w:rPr>
          <w:rFonts w:ascii="Times New Roman" w:cs="Times New Roman" w:eastAsia="Times New Roman" w:hAnsi="Times New Roman"/>
          <w:sz w:val="18"/>
          <w:szCs w:val="18"/>
          <w:color w:val="0A2E94"/>
        </w:rPr>
      </w:pPr>
    </w:p>
    <w:p>
      <w:pPr>
        <w:ind w:left="340" w:right="160" w:hanging="238"/>
        <w:spacing w:after="0" w:line="250" w:lineRule="auto"/>
        <w:tabs>
          <w:tab w:leader="none" w:pos="340" w:val="left"/>
        </w:tabs>
        <w:numPr>
          <w:ilvl w:val="0"/>
          <w:numId w:val="1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Even if we are able to effectively commercialize Illuccix or any product candidates for which we obtain approval, the products may not receive coverage or may become subject to unfavorable pricing regulations, third-party reimbursement practices or healthcare reform initiatives, all of which would harm our business.</w:t>
      </w:r>
    </w:p>
    <w:p>
      <w:pPr>
        <w:spacing w:after="0" w:line="1" w:lineRule="exact"/>
        <w:rPr>
          <w:rFonts w:ascii="Times New Roman" w:cs="Times New Roman" w:eastAsia="Times New Roman" w:hAnsi="Times New Roman"/>
          <w:sz w:val="18"/>
          <w:szCs w:val="18"/>
          <w:color w:val="0A2E94"/>
        </w:rPr>
      </w:pPr>
    </w:p>
    <w:p>
      <w:pPr>
        <w:jc w:val="both"/>
        <w:ind w:left="340" w:right="20" w:hanging="238"/>
        <w:spacing w:after="0" w:line="250" w:lineRule="auto"/>
        <w:tabs>
          <w:tab w:leader="none" w:pos="340" w:val="left"/>
        </w:tabs>
        <w:numPr>
          <w:ilvl w:val="0"/>
          <w:numId w:val="1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depend on collaborations with third parties for certain aspects of the development, marketing and/or commercialization of Illuccix and our product candidates. If those collaborations are not successful, or if we are not able to maintain our existing collaborations or establish additional collaborations, we may have to alter our development and commercialization plans and may not be able to capitalize on the market potential of Illuccix or our product candidates.</w:t>
      </w:r>
    </w:p>
    <w:p>
      <w:pPr>
        <w:spacing w:after="0" w:line="1" w:lineRule="exact"/>
        <w:rPr>
          <w:rFonts w:ascii="Times New Roman" w:cs="Times New Roman" w:eastAsia="Times New Roman" w:hAnsi="Times New Roman"/>
          <w:sz w:val="18"/>
          <w:szCs w:val="18"/>
          <w:color w:val="0A2E94"/>
        </w:rPr>
      </w:pPr>
    </w:p>
    <w:p>
      <w:pPr>
        <w:ind w:left="340" w:right="60" w:hanging="238"/>
        <w:spacing w:after="0" w:line="250" w:lineRule="auto"/>
        <w:tabs>
          <w:tab w:leader="none" w:pos="340" w:val="left"/>
        </w:tabs>
        <w:numPr>
          <w:ilvl w:val="0"/>
          <w:numId w:val="1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If we are unable to obtain and/or maintain commercially valuable regulatory exclusivity and patent claims or to protect our patents, trademarks, know-how and trade secrets, our ability to successfully commercialize our products and product candidates would be adversely impacted.</w:t>
      </w:r>
    </w:p>
    <w:p>
      <w:pPr>
        <w:ind w:left="340" w:hanging="238"/>
        <w:spacing w:after="0"/>
        <w:tabs>
          <w:tab w:leader="none" w:pos="340" w:val="left"/>
        </w:tabs>
        <w:numPr>
          <w:ilvl w:val="0"/>
          <w:numId w:val="1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An active and liquid market for our securities may not continue to be developed or sustained, which could harm the market price of the ADSs.</w:t>
      </w:r>
    </w:p>
    <w:p>
      <w:pPr>
        <w:spacing w:after="0" w:line="9" w:lineRule="exact"/>
        <w:rPr>
          <w:rFonts w:ascii="Times New Roman" w:cs="Times New Roman" w:eastAsia="Times New Roman" w:hAnsi="Times New Roman"/>
          <w:sz w:val="18"/>
          <w:szCs w:val="18"/>
          <w:color w:val="0A2E94"/>
        </w:rPr>
      </w:pPr>
    </w:p>
    <w:p>
      <w:pPr>
        <w:ind w:left="340" w:right="340" w:hanging="238"/>
        <w:spacing w:after="0" w:line="260" w:lineRule="auto"/>
        <w:tabs>
          <w:tab w:leader="none" w:pos="340" w:val="left"/>
        </w:tabs>
        <w:numPr>
          <w:ilvl w:val="0"/>
          <w:numId w:val="1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As a foreign private issuer, we are permitted to follow certain home country corporate governance practices in lieu of certain Nasdaq requirements applicable to domestic issuers.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right="100" w:hanging="238"/>
        <w:spacing w:after="0" w:line="261" w:lineRule="auto"/>
        <w:tabs>
          <w:tab w:leader="none" w:pos="340" w:val="left"/>
        </w:tabs>
        <w:numPr>
          <w:ilvl w:val="0"/>
          <w:numId w:val="1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investor confidence in us and, as a result, the value of our ADSs.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significant net losses, our operating expenses may increase in the future, and we may not be able to maintain profitability in future periods.</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Until 2023, we incurred significant operating losses. Our profit after tax was A$49.9 million for the year ended December 31, 2024. Our net operating cash flow was A$43.0 million for the year ended December 31, 2024. As of December 31, 2024, we had an accumulated deficit of A$213.0 million. Although we launched Illuccix in April 2022 and have recognized profits in recent periods, we cannot be certain that we will sustain profitability or positive cash flows from operations in future periods.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invested most of our resources in developing our technology and product candidates, building our intellectual property portfolio, developing our supply chain, conducting business planning, raising capital and providing general and administrative support for these operations. We continue to incur significant research and development, or R&amp;D, and other expenses related to ongoing operations and may incur losses in the future.</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Investment in biotechnology product development, as well as medical device development, is highly speculative because it entails substantial upfront capital expenditures and significant risk that any potential product candidate will be unable to demonstrate effectiveness or an acceptable safety profile, gain regulatory approval, gain competitive pricing or reimbursement and become commercially viable. To date, our only product to receive marketing authorization in any jurisdiction is Illuccix, which has been approved by the FDA, the Australian Therapeutic Goods Administration, or the TGA, by Health Canada, by the Danish Medicines Agency, and by the United Kingdom Medicines and Healthcare Products Regulatory Agency, or the MHRA. In January 2025, we received a positive decision on our marketing authorization application, or MAA, for Illuccix submitted in Europe via a decentralized procedure, or DCP, and we are currently pursuing local marketing authorizations either directly or in collaboration with regional commercial partners, in 18 European countries as well as countries in Asia and Latin America, which will require substantial additional resources and time before we receive regulatory clearance or approval and begin generating revenue in such jurisdictions.</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historically financed our operations principally through product sales, private and institutional placements of our ordinary shares, proceeds from our initial public offering of ordinary shares on the ASX, proceeds from our issuance of convertible bonds, loan agreements with financial institutions and cash generated from our business development activities. Substantially all of our operating losses in previous periods have resulted from costs incurred in connection with our research and development programs, the pursuit of regulatory approvals within and outside of the United States, and the commercialization of Illuccix. We expect to continue to incur significant expenses as we continue to commercialize Illuccix in the United States, Australia, New Zealand, Canada, Europe, the jurisdictions in which we have national marketing authorization, and other jurisdictions following regulatory approval and engage in activities to prepare for the potential approval and commercialization of our other product candidates. The profits or losses we incur may fluctuate significantly from quarter to quarter and year to year.</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While we began to generate revenue from the sales of Illuccix in April 2022, there can be no assurance as to the amount or timing of future product or license and other revenues, and we may not be able to maintain profitability in future periods. Our ability to remain profitable depends significantly on our success in many areas, including:</w:t>
      </w:r>
    </w:p>
    <w:p>
      <w:pPr>
        <w:spacing w:after="0" w:line="176" w:lineRule="exact"/>
        <w:rPr>
          <w:sz w:val="20"/>
          <w:szCs w:val="20"/>
          <w:color w:val="auto"/>
        </w:rPr>
      </w:pPr>
    </w:p>
    <w:p>
      <w:pPr>
        <w:ind w:left="340" w:right="480" w:hanging="238"/>
        <w:spacing w:after="0" w:line="261" w:lineRule="auto"/>
        <w:tabs>
          <w:tab w:leader="none" w:pos="340" w:val="left"/>
        </w:tabs>
        <w:numPr>
          <w:ilvl w:val="0"/>
          <w:numId w:val="1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effectively commercializing Illuccix or any future products either on our own or with a collaborator, including by maintaining a full commercial organization required to market, sell and distribute our products, and achieving an adequate level of market acceptance;</w:t>
      </w:r>
    </w:p>
    <w:p>
      <w:pPr>
        <w:ind w:left="340" w:hanging="238"/>
        <w:spacing w:after="0"/>
        <w:tabs>
          <w:tab w:leader="none" w:pos="340" w:val="left"/>
        </w:tabs>
        <w:numPr>
          <w:ilvl w:val="0"/>
          <w:numId w:val="1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impact of current or future competing products on product sales of Illuccix or any of our future products;</w:t>
      </w:r>
    </w:p>
    <w:p>
      <w:pPr>
        <w:spacing w:after="0" w:line="9" w:lineRule="exact"/>
        <w:rPr>
          <w:rFonts w:ascii="Times New Roman" w:cs="Times New Roman" w:eastAsia="Times New Roman" w:hAnsi="Times New Roman"/>
          <w:sz w:val="18"/>
          <w:szCs w:val="18"/>
          <w:color w:val="0A2E94"/>
        </w:rPr>
      </w:pPr>
    </w:p>
    <w:p>
      <w:pPr>
        <w:ind w:left="340" w:right="160" w:hanging="238"/>
        <w:spacing w:after="0" w:line="250" w:lineRule="auto"/>
        <w:tabs>
          <w:tab w:leader="none" w:pos="340" w:val="left"/>
        </w:tabs>
        <w:numPr>
          <w:ilvl w:val="0"/>
          <w:numId w:val="1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obtaining sufficient pricing, coverage and reimbursement, under U.S. federal healthcare programs, such as Medicare and Medicaid, and from private payors, for Illuccix and any of our other approved products from private and government payors and the impact of any pricing changes;</w:t>
      </w:r>
    </w:p>
    <w:p>
      <w:pPr>
        <w:ind w:left="340" w:hanging="238"/>
        <w:spacing w:after="0"/>
        <w:tabs>
          <w:tab w:leader="none" w:pos="340" w:val="left"/>
        </w:tabs>
        <w:numPr>
          <w:ilvl w:val="0"/>
          <w:numId w:val="1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initiating and successfully completing clinical trials required to file for, obtain and maintain regulatory approval for our product candidates;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hanging="238"/>
        <w:spacing w:after="0"/>
        <w:tabs>
          <w:tab w:leader="none" w:pos="340" w:val="left"/>
        </w:tabs>
        <w:numPr>
          <w:ilvl w:val="0"/>
          <w:numId w:val="1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obtaining and maintaining regulatory approvals, and the timing of such approvals;</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1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manufacturing at commercial scale;</w:t>
      </w:r>
    </w:p>
    <w:p>
      <w:pPr>
        <w:spacing w:after="0" w:line="9" w:lineRule="exact"/>
        <w:rPr>
          <w:rFonts w:ascii="Times New Roman" w:cs="Times New Roman" w:eastAsia="Times New Roman" w:hAnsi="Times New Roman"/>
          <w:sz w:val="18"/>
          <w:szCs w:val="18"/>
          <w:color w:val="0A2E94"/>
        </w:rPr>
      </w:pPr>
    </w:p>
    <w:p>
      <w:pPr>
        <w:ind w:left="340" w:right="40" w:hanging="238"/>
        <w:spacing w:after="0" w:line="265" w:lineRule="auto"/>
        <w:tabs>
          <w:tab w:leader="none" w:pos="340" w:val="left"/>
        </w:tabs>
        <w:numPr>
          <w:ilvl w:val="0"/>
          <w:numId w:val="19"/>
        </w:numPr>
        <w:rPr>
          <w:rFonts w:ascii="Times New Roman" w:cs="Times New Roman" w:eastAsia="Times New Roman" w:hAnsi="Times New Roman"/>
          <w:sz w:val="17"/>
          <w:szCs w:val="17"/>
          <w:color w:val="0A2E94"/>
        </w:rPr>
      </w:pPr>
      <w:r>
        <w:rPr>
          <w:rFonts w:ascii="Times New Roman" w:cs="Times New Roman" w:eastAsia="Times New Roman" w:hAnsi="Times New Roman"/>
          <w:sz w:val="17"/>
          <w:szCs w:val="17"/>
          <w:color w:val="auto"/>
        </w:rPr>
        <w:t>establishing and managing any collaborations for the development, marketing and/or commercialization of our products and product candidates, including the level of success of any such collaborators’ efforts and the timing and amount of any milestone or royalty payments we may receive; and</w:t>
      </w:r>
    </w:p>
    <w:p>
      <w:pPr>
        <w:ind w:left="340" w:hanging="238"/>
        <w:spacing w:after="0"/>
        <w:tabs>
          <w:tab w:leader="none" w:pos="340" w:val="left"/>
        </w:tabs>
        <w:numPr>
          <w:ilvl w:val="0"/>
          <w:numId w:val="1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obtaining, maintaining and protecting our intellectual property rights.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our operating expenses will continue to be significant and increase as we continue to:</w:t>
      </w:r>
    </w:p>
    <w:p>
      <w:pPr>
        <w:spacing w:after="0" w:line="225" w:lineRule="exact"/>
        <w:rPr>
          <w:sz w:val="20"/>
          <w:szCs w:val="20"/>
          <w:color w:val="auto"/>
        </w:rPr>
      </w:pPr>
    </w:p>
    <w:p>
      <w:pPr>
        <w:ind w:left="340" w:right="40" w:hanging="238"/>
        <w:spacing w:after="0" w:line="261" w:lineRule="auto"/>
        <w:tabs>
          <w:tab w:leader="none" w:pos="340" w:val="left"/>
        </w:tabs>
        <w:numPr>
          <w:ilvl w:val="0"/>
          <w:numId w:val="2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commercialize Illuccix in the United States, Australia, New Zealand, Canada, Europe and other jurisdictions following regulatory approval, including maintaining our commercial infrastructure;</w:t>
      </w:r>
    </w:p>
    <w:p>
      <w:pPr>
        <w:ind w:left="340" w:right="20" w:hanging="238"/>
        <w:spacing w:after="0" w:line="250" w:lineRule="auto"/>
        <w:tabs>
          <w:tab w:leader="none" w:pos="340" w:val="left"/>
        </w:tabs>
        <w:numPr>
          <w:ilvl w:val="0"/>
          <w:numId w:val="2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obtain and/or maintain regulatory approval for Illuccix and our product candidates, including completing any required post-marketing requirements to the satisfaction of the FDA or other regulatory agencies;</w:t>
      </w:r>
    </w:p>
    <w:p>
      <w:pPr>
        <w:ind w:left="340" w:right="60" w:hanging="238"/>
        <w:spacing w:after="0" w:line="250" w:lineRule="auto"/>
        <w:tabs>
          <w:tab w:leader="none" w:pos="340" w:val="left"/>
        </w:tabs>
        <w:numPr>
          <w:ilvl w:val="0"/>
          <w:numId w:val="2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expand our research and development programs, identify additional product candidates and initiate and conduct clinical trials, including clinical trials required by the FDA or other regulatory agencies in addition to those that have been or are currently expected to be conducted;</w:t>
      </w:r>
    </w:p>
    <w:p>
      <w:pPr>
        <w:ind w:left="340" w:hanging="238"/>
        <w:spacing w:after="0"/>
        <w:tabs>
          <w:tab w:leader="none" w:pos="340" w:val="left"/>
        </w:tabs>
        <w:numPr>
          <w:ilvl w:val="0"/>
          <w:numId w:val="2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maintain, expand and protect our intellectual property portfolio;</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manufacture Illuccix and our product candidates;</w:t>
      </w:r>
    </w:p>
    <w:p>
      <w:pPr>
        <w:spacing w:after="0" w:line="9" w:lineRule="exact"/>
        <w:rPr>
          <w:rFonts w:ascii="Times New Roman" w:cs="Times New Roman" w:eastAsia="Times New Roman" w:hAnsi="Times New Roman"/>
          <w:sz w:val="18"/>
          <w:szCs w:val="18"/>
          <w:color w:val="0A2E94"/>
        </w:rPr>
      </w:pPr>
    </w:p>
    <w:p>
      <w:pPr>
        <w:ind w:left="340" w:right="620" w:hanging="238"/>
        <w:spacing w:after="0" w:line="250" w:lineRule="auto"/>
        <w:tabs>
          <w:tab w:leader="none" w:pos="340" w:val="left"/>
        </w:tabs>
        <w:numPr>
          <w:ilvl w:val="0"/>
          <w:numId w:val="2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add clinical, scientific, operational, financial and management information systems and personnel, including personnel to support our product development and potential future radiopharmaceutical commercialization efforts;</w:t>
      </w:r>
    </w:p>
    <w:p>
      <w:pPr>
        <w:ind w:left="340" w:hanging="238"/>
        <w:spacing w:after="0"/>
        <w:tabs>
          <w:tab w:leader="none" w:pos="340" w:val="left"/>
        </w:tabs>
        <w:numPr>
          <w:ilvl w:val="0"/>
          <w:numId w:val="2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operate as a publicly listed company in the United States and Australia;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acquire or in-license other products, product candidates or technologies.</w:t>
      </w:r>
    </w:p>
    <w:p>
      <w:pPr>
        <w:spacing w:after="0" w:line="207"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and commercialization, we are unable to accurately predict the timing or amount of our revenue and expenses or if we will be able to maintain profitability. We cannot be certain that our revenue from sales of Illuccix alone, in the currently approved indications, will be sufficient for us to remain profitable in future periods. We may not generate revenues that are significant or large enough to sustain or increase profitability on an annual basis. Our failure to remain profitable would decrease the value of our company and could impair our ability to raise capital, maintain our research and development and commercialization efforts, expand our business and/or continue our operations. This could result in a material adverse effect on the value of our company and could cause our shareholders and ADS holders to lose all or part of their investment.</w:t>
      </w:r>
    </w:p>
    <w:p>
      <w:pPr>
        <w:spacing w:after="0" w:line="18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achieve our business objectives if we are unable to fund our operations with our cash flows from the sale of our products. If we are unable to raise capital when needed or on acceptable terms, we would be forced to delay, reduce or eliminate our research and development programs and/or commercialization efforts.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Discovering, developing and commercializing products involve time-consuming, expensive and uncertain processes that take years to complete. We have used substantial funds to develop Illuccix and expect our operating expenses to continue to increase as we continue to commercialize Illuccix or any future approved products, conduct further research and development of our product candidates, seek approval and prepare for commercialization of TLX250-CDx, TLX007-CDx and TLX101-CDx and continue to conduct clinical trials for our other product candidates.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Furthermore, we will continue to incur additional costs associated with operating as a public company, hiring additional personnel and expanding our geographical reach. Although currently Illuccix is commercially available in four jurisdictions, we cannot be certain that our revenue from product sales of Illuccix will be sufficient for us to remain profitable on an annual basis. Accordingly, we may need to continue to rely on additional financing to achieve our business objectives.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2024, we had A$710.3 million in cash and cash equivalents. The amount and timing of our future capital requirements will depend on many factors, including, but not limited to:</w:t>
      </w:r>
    </w:p>
    <w:p>
      <w:pPr>
        <w:spacing w:after="0" w:line="3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hanging="238"/>
        <w:spacing w:after="0"/>
        <w:tabs>
          <w:tab w:leader="none" w:pos="340" w:val="left"/>
        </w:tabs>
        <w:numPr>
          <w:ilvl w:val="0"/>
          <w:numId w:val="2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scope, progress, results, timing and costs of our current and planned development efforts and regulatory review of our product candidates;</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amount and timing of revenues from sales of Illuccix or any product candidate for which we receive regulatory approval;</w:t>
      </w:r>
    </w:p>
    <w:p>
      <w:pPr>
        <w:spacing w:after="0" w:line="9" w:lineRule="exact"/>
        <w:rPr>
          <w:rFonts w:ascii="Times New Roman" w:cs="Times New Roman" w:eastAsia="Times New Roman" w:hAnsi="Times New Roman"/>
          <w:sz w:val="18"/>
          <w:szCs w:val="18"/>
          <w:color w:val="0A2E94"/>
        </w:rPr>
      </w:pPr>
    </w:p>
    <w:p>
      <w:pPr>
        <w:ind w:left="340" w:right="160" w:hanging="238"/>
        <w:spacing w:after="0" w:line="250" w:lineRule="auto"/>
        <w:tabs>
          <w:tab w:leader="none" w:pos="340" w:val="left"/>
        </w:tabs>
        <w:numPr>
          <w:ilvl w:val="0"/>
          <w:numId w:val="2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cost of, and our ability to expand and maintain, the commercial infrastructure required to support the commercialization of Illuccix and any other product for which we receive regulatory approval, including medical affairs, manufacturing, marketing and distribution functions;</w:t>
      </w:r>
    </w:p>
    <w:p>
      <w:pPr>
        <w:ind w:left="340" w:right="340" w:hanging="238"/>
        <w:spacing w:after="0" w:line="250" w:lineRule="auto"/>
        <w:tabs>
          <w:tab w:leader="none" w:pos="340" w:val="left"/>
        </w:tabs>
        <w:numPr>
          <w:ilvl w:val="0"/>
          <w:numId w:val="2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ability to establish and maintain collaboration, partnership, licensing, marketing, distribution or other arrangements on favorable terms and the level and timing of success of these arrangements;</w:t>
      </w:r>
    </w:p>
    <w:p>
      <w:pPr>
        <w:ind w:left="340" w:hanging="238"/>
        <w:spacing w:after="0"/>
        <w:tabs>
          <w:tab w:leader="none" w:pos="340" w:val="left"/>
        </w:tabs>
        <w:numPr>
          <w:ilvl w:val="0"/>
          <w:numId w:val="2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extent to which we acquire or in-license other products, product candidates and technologies; and</w:t>
      </w:r>
    </w:p>
    <w:p>
      <w:pPr>
        <w:spacing w:after="0" w:line="9" w:lineRule="exact"/>
        <w:rPr>
          <w:rFonts w:ascii="Times New Roman" w:cs="Times New Roman" w:eastAsia="Times New Roman" w:hAnsi="Times New Roman"/>
          <w:sz w:val="18"/>
          <w:szCs w:val="18"/>
          <w:color w:val="0A2E94"/>
        </w:rPr>
      </w:pPr>
    </w:p>
    <w:p>
      <w:pPr>
        <w:ind w:left="340" w:right="140" w:hanging="238"/>
        <w:spacing w:after="0" w:line="260" w:lineRule="auto"/>
        <w:tabs>
          <w:tab w:leader="none" w:pos="340" w:val="left"/>
        </w:tabs>
        <w:numPr>
          <w:ilvl w:val="0"/>
          <w:numId w:val="2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intellectual property-related claims.</w:t>
      </w:r>
    </w:p>
    <w:p>
      <w:pPr>
        <w:spacing w:after="0" w:line="181" w:lineRule="exact"/>
        <w:rPr>
          <w:sz w:val="20"/>
          <w:szCs w:val="20"/>
          <w:color w:val="auto"/>
        </w:rPr>
      </w:pPr>
    </w:p>
    <w:p>
      <w:pPr>
        <w:ind w:right="620"/>
        <w:spacing w:after="0" w:line="255" w:lineRule="auto"/>
        <w:rPr>
          <w:sz w:val="20"/>
          <w:szCs w:val="20"/>
          <w:color w:val="auto"/>
        </w:rPr>
      </w:pPr>
      <w:r>
        <w:rPr>
          <w:rFonts w:ascii="Times New Roman" w:cs="Times New Roman" w:eastAsia="Times New Roman" w:hAnsi="Times New Roman"/>
          <w:sz w:val="18"/>
          <w:szCs w:val="18"/>
          <w:color w:val="auto"/>
        </w:rPr>
        <w:t>In addition, the terms of any financing may adversely affect the holdings or the rights of our shareholders and ADS holders. If we raise funds by issuing equity securities, dilution to our existing shareholders and ADS holders will result, and this may also have an impact on the market price of our ordinary shares and ADSs. In addition, as a condition to providing additional funding to us, future investors may demand, and may be granted, rights superior to those of existing shareholders. Moreover, any debt financing, if available, may involve restrictive covenants that could limit our flexibility in conducting future business activities and, in the event of insolvency, would be paid before holders of equity securities received any distribution of corporate assets. Our ability to satisfy and meet any future debt service obligations will depend upon our future performance, which will be subject to financial, business and other factors affecting our operations, many of which are beyond our control.</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if we believe we have sufficient funds for our current or future operating plans, we may seek additional capital due to favorable market conditions or strategic considerations. Any future fundraising efforts could divert our management’s attention away from their day-to-day activities. Further, adequate additional financing may not be available to us on acceptable terms, or at all. In addition, raising funds in the current economic environment may present additional challenges. For example, any sustained disruption in the capital markets from adverse macroeconomic conditions, such as the disruption and uncertainty caused by rising inflation, increasing interest rates and slower economic growth or recession, could negatively impact our ability to raise capital and we cannot predict the extent or duration of such macro-economic disruptions. If adequate funds are not available to us on a timely basis or on attractive terms, we may be required to delay, reduce or eliminate our research and development programs or any current or future commercialization efforts for one or more of our products or product candidates, any of which could have a material adverse effect on our business, operating results and prospects.</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or may fall below the expectations of investors or securities analysts, each of which may cause the trading price of our ordinary shares and the ADSs to fluctuate or decline.</w:t>
      </w:r>
    </w:p>
    <w:p>
      <w:pPr>
        <w:spacing w:after="0" w:line="15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fluctuations. Our profit or loss and other operating results will be affected by numerous factors, including:</w:t>
      </w:r>
    </w:p>
    <w:p>
      <w:pPr>
        <w:spacing w:after="0" w:line="162" w:lineRule="exact"/>
        <w:rPr>
          <w:sz w:val="20"/>
          <w:szCs w:val="20"/>
          <w:color w:val="auto"/>
        </w:rPr>
      </w:pPr>
    </w:p>
    <w:p>
      <w:pPr>
        <w:ind w:left="340" w:hanging="238"/>
        <w:spacing w:after="0"/>
        <w:tabs>
          <w:tab w:leader="none" w:pos="340" w:val="left"/>
        </w:tabs>
        <w:numPr>
          <w:ilvl w:val="0"/>
          <w:numId w:val="2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timing and variations in the level of expense related to the current or future development of our programs;</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timing and status of enrollment for our clinical trials;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results of clinical trials, or the addition or termination of clinical trials or funding support by us or potential future partners;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timing of any milestone payments or other payment obligations to be paid by us pursuant to existing supply agreements, licenses or collaborations;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timing of any milestone payments or other payments to be received by us pursuant to our license agreement;</w:t>
      </w:r>
    </w:p>
    <w:p>
      <w:pPr>
        <w:spacing w:after="0" w:line="9" w:lineRule="exact"/>
        <w:rPr>
          <w:rFonts w:ascii="Times New Roman" w:cs="Times New Roman" w:eastAsia="Times New Roman" w:hAnsi="Times New Roman"/>
          <w:sz w:val="18"/>
          <w:szCs w:val="18"/>
          <w:color w:val="0A2E94"/>
        </w:rPr>
      </w:pPr>
    </w:p>
    <w:p>
      <w:pPr>
        <w:ind w:left="340" w:right="440" w:hanging="238"/>
        <w:spacing w:after="0" w:line="250" w:lineRule="auto"/>
        <w:tabs>
          <w:tab w:leader="none" w:pos="340" w:val="left"/>
        </w:tabs>
        <w:numPr>
          <w:ilvl w:val="0"/>
          <w:numId w:val="2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potential future arrangements or the termination or modification of any such potential future arrangements;</w:t>
      </w:r>
    </w:p>
    <w:p>
      <w:pPr>
        <w:ind w:left="340" w:right="200" w:hanging="238"/>
        <w:spacing w:after="0" w:line="250" w:lineRule="auto"/>
        <w:tabs>
          <w:tab w:leader="none" w:pos="340" w:val="left"/>
        </w:tabs>
        <w:numPr>
          <w:ilvl w:val="0"/>
          <w:numId w:val="2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any intellectual property infringement, misappropriation or violation lawsuit or opposition, interference or cancellation proceeding in which we may become involved;</w:t>
      </w:r>
    </w:p>
    <w:p>
      <w:pPr>
        <w:ind w:left="340" w:hanging="238"/>
        <w:spacing w:after="0"/>
        <w:tabs>
          <w:tab w:leader="none" w:pos="340" w:val="left"/>
        </w:tabs>
        <w:numPr>
          <w:ilvl w:val="0"/>
          <w:numId w:val="2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additions and departures of key personnel;</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strategic decisions, such as acquisitions, divestitures, spin-offs, joint ventures, strategic investments or changes in business strategy;</w:t>
      </w:r>
    </w:p>
    <w:p>
      <w:pPr>
        <w:spacing w:after="0" w:line="9" w:lineRule="exact"/>
        <w:rPr>
          <w:rFonts w:ascii="Times New Roman" w:cs="Times New Roman" w:eastAsia="Times New Roman" w:hAnsi="Times New Roman"/>
          <w:sz w:val="18"/>
          <w:szCs w:val="18"/>
          <w:color w:val="0A2E94"/>
        </w:rPr>
      </w:pPr>
    </w:p>
    <w:p>
      <w:pPr>
        <w:ind w:left="340" w:right="140" w:hanging="238"/>
        <w:spacing w:after="0" w:line="260" w:lineRule="auto"/>
        <w:tabs>
          <w:tab w:leader="none" w:pos="340" w:val="left"/>
        </w:tabs>
        <w:numPr>
          <w:ilvl w:val="0"/>
          <w:numId w:val="2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if any product candidate we may develop receives regulatory approval, the timing and terms of such approval and market acceptance and demand for such product candidate;</w:t>
      </w: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right="240" w:hanging="238"/>
        <w:spacing w:after="0" w:line="261" w:lineRule="auto"/>
        <w:tabs>
          <w:tab w:leader="none" w:pos="340" w:val="left"/>
        </w:tabs>
        <w:numPr>
          <w:ilvl w:val="0"/>
          <w:numId w:val="2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timing and cost to establish a sales, marketing and distribution infrastructure to commercialize any products for which we may obtain regulatory approval and intend to commercialize on our own or jointly with current or future collaborators;</w:t>
      </w:r>
    </w:p>
    <w:p>
      <w:pPr>
        <w:ind w:left="340" w:hanging="238"/>
        <w:spacing w:after="0"/>
        <w:tabs>
          <w:tab w:leader="none" w:pos="340" w:val="left"/>
        </w:tabs>
        <w:numPr>
          <w:ilvl w:val="0"/>
          <w:numId w:val="2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regulatory developments affecting Illuccix or any other of our product candidates or those of our competitors; and</w:t>
      </w:r>
    </w:p>
    <w:p>
      <w:pPr>
        <w:spacing w:after="0" w:line="9" w:lineRule="exact"/>
        <w:rPr>
          <w:rFonts w:ascii="Times New Roman" w:cs="Times New Roman" w:eastAsia="Times New Roman" w:hAnsi="Times New Roman"/>
          <w:sz w:val="18"/>
          <w:szCs w:val="18"/>
          <w:color w:val="0A2E94"/>
        </w:rPr>
      </w:pPr>
    </w:p>
    <w:p>
      <w:pPr>
        <w:ind w:left="340" w:hanging="238"/>
        <w:spacing w:after="0" w:line="260" w:lineRule="auto"/>
        <w:tabs>
          <w:tab w:leader="none" w:pos="340" w:val="left"/>
        </w:tabs>
        <w:numPr>
          <w:ilvl w:val="0"/>
          <w:numId w:val="2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changes in general market and economic conditions, including as a result of the ongoing war between Russia and Ukraine and other current or future conflicts that may arise.</w:t>
      </w:r>
    </w:p>
    <w:p>
      <w:pPr>
        <w:spacing w:after="0" w:line="18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If our operating results fall below the expectations of investors or securities analysts, the price of our ordinary shares and ADSs could decline substantially. Furthermore, any fluctuations in our operating results may, in turn, cause the price of our ordinary shares and ADSs to fluctuate substantially. We believe that comparisons of our financial results are not necessarily meaningful and should not be relied upon as an indication of our future performance.</w:t>
      </w:r>
    </w:p>
    <w:p>
      <w:pPr>
        <w:spacing w:after="0" w:line="17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Loan Agreements with BNP Paribas and IMBC Group contain various covenants and other provisions, which, if violated, could result in the acceleration of payments due under such agreement, as well as affect the buildout of our Brussels South manufacturing facility.</w:t>
      </w:r>
    </w:p>
    <w:p>
      <w:pPr>
        <w:spacing w:after="0" w:line="15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March 2022, one of our subsidiaries, Telix Pharmaceuticals (Belgium) SPRL (now Telix Pharmaceuticals (Belgium) SRL), entered into Loan Agreements, or the Loan Agreements, with BNP Paribas and IMBC Group. The borrowings under these Loan Agreements were used to fund in part the construction of our Brussels South manufacturing facility. Pursuant to the Loan Agreements, Telix Pharmaceuticals (Belgium) SRL is required to comply with various covenants relating to the conduct of its business. The Loan Agreements also include customary events of default upon the occurrence of enumerated events, including non-payment of required repayments, failure to perform certain covenants and the occurrence of insolvency proceedings, specified judgments, specified cross-defaults or specified revocations. Upon the occurrence of an event of default and in the event of a change of control, BNP Paribas and IMBC Group may accelerate payments due under the Loan Agreements or terminate the Loan Agreements, which would have an adverse impact on our business. In the event that we are unable to make required payments or the Loan Agreements are otherwise terminated, we would face significant challenges in continuing the construction of our Brussels South manufacturing facility, which would have a detrimental impact on the development timeline of our product candidates and other plans.</w:t>
      </w:r>
    </w:p>
    <w:p>
      <w:pPr>
        <w:spacing w:after="0" w:line="19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equity or convertible debt securities may cause dilution to our shareholders and ADS holders, restrict our operations or require us to relinquish rights to our product candidates.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expect to finance our cash needs through a combination of revenues from product sales, equity offerings, debt financings, collaborations, strategic alliances and/or licensing arrangements. To the extent that we raise additional capital through the sale of equity or convertible debt securities, the ownership interests of our shareholders and ADS holders will be diluted, and the terms of these securities may include liquidation or other preferences that adversely affect the rights of ordinary shareholders and ADS holders. Debt financing, if available, may involve agreements that include covenants limiting or restricting our ability to take specific actions, such as incurring additional debt, making capital expenditures or declaring dividends.</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If we raise funds through further collaborations, strategic alliances or licensing arrangements with third parties, we may have to relinquish valuable rights to our future revenue streams, research programs or product candidates or to grant licenses on terms that may not be favorable to us. If we are unable to raise funds through equity or debt financings when needed, we may be required to delay, limit, reduce or terminate our research and product development or current or future commercialization efforts or grant rights to develop and market product candidates that we would otherwise prefer to develop and market ourselves.</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limit cash flow available for our operations, expose us to risks that could adversely affect our business, financial condition and results of operations and impair our ability to satisfy our obligations under our indebtedness.</w:t>
      </w:r>
    </w:p>
    <w:p>
      <w:pPr>
        <w:spacing w:after="0" w:line="15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On July 30, 2024, we issued A$650 million principal amount of 2.375% unsecured convertible bonds due 2029, or the Convertible Bonds, on the SGX. Additionally, as of December 31, 2024, we had A$15.1 million of other indebtedness.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80" w:lineRule="exact"/>
        <w:rPr>
          <w:sz w:val="20"/>
          <w:szCs w:val="20"/>
          <w:color w:val="auto"/>
        </w:rPr>
      </w:pPr>
    </w:p>
    <w:p>
      <w:pPr>
        <w:ind w:left="340" w:hanging="238"/>
        <w:spacing w:after="0"/>
        <w:tabs>
          <w:tab w:leader="none" w:pos="340" w:val="left"/>
        </w:tabs>
        <w:numPr>
          <w:ilvl w:val="0"/>
          <w:numId w:val="2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increasing our vulnerability to adverse economic and industry conditions;</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limiting our ability to obtain additional financing;</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right="180" w:hanging="238"/>
        <w:spacing w:after="0" w:line="261" w:lineRule="auto"/>
        <w:tabs>
          <w:tab w:leader="none" w:pos="340" w:val="left"/>
        </w:tabs>
        <w:numPr>
          <w:ilvl w:val="0"/>
          <w:numId w:val="2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requiring the dedication of a portion of our cash flow from operations to service our indebtedness, which would reduce the amount of cash available for other purposes;</w:t>
      </w:r>
    </w:p>
    <w:p>
      <w:pPr>
        <w:ind w:left="340" w:hanging="238"/>
        <w:spacing w:after="0"/>
        <w:tabs>
          <w:tab w:leader="none" w:pos="340" w:val="left"/>
        </w:tabs>
        <w:numPr>
          <w:ilvl w:val="0"/>
          <w:numId w:val="2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limiting our flexibility to plan for, or react to, changes in our business;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diluting the interests of our existing shareholders as a result of issuing ordinary shares upon conversion of the Convertible Bonds;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ability to pay the principal of or interest on the Convertible Bonds or to make cash payments in connection with any conversion of the Convertible Bonds depends on our future performance, which is subject, in part, to economic, financial, competitive and other factors beyond our control. Our business may not generate cash flow from operations in the future sufficient to service the Convertible Bonds or other future indebtedness and make necessary capital expenditures.</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redeem the Convertible Bonds for cash when required, or repay the Convertible Bonds when due at maturity, we may need to seek alternative financing arrangements, which could impose restrictions on our operations and business.</w:t>
      </w:r>
    </w:p>
    <w:p>
      <w:pPr>
        <w:spacing w:after="0" w:line="15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On July 30, 2024, we completed our issuance of the Convertible Bonds to institutional and professional investors on the SGX outside of the United States. The Convertible Bonds mature on July 30, 2029, unless redeemed, repurchased, or converted in accordance with their terms.</w:t>
      </w:r>
    </w:p>
    <w:p>
      <w:pPr>
        <w:spacing w:after="0" w:line="162"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Subject to the satisfaction of conditions in the trust deed, we have the right at our option to redeem all of the bonds on or after August 13, 2027 if (i) the closing price of our ordinary shares on the ASX exceeds 130% of the then-applicable conversion price for at least 20 trading days, whether consecutive or not, during any consecutive 30 trading day period or (ii) conversion rights have been exercised in respect of 85% or more in principal amount of the Convertible Bonds.</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may be required to redeem the Convertible Bonds prior to the maturity date in certain circumstances. Upon the occurrence of an event constituting a change of control or the delisting of our ordinary shares on the ASX, each bondholder will have the right under the trust deed governing the Convertible Bonds to require us to redeem all or some of such bondholder’s Convertible Bonds at their principal amount, together with accrued but unpaid interest. We are also required under the trust deed to redeem the Convertible Bonds on July 30, 2027 at the option of each holder at their principal amount, together with accrued but unpaid interest.</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may not be able to redeem all or any of such Convertible Bonds or pay all or any amounts due upon conversions thereof if we do not have sufficient funds to do so. Non-payment of any principal or interest payable with respect to the Convertible Bonds would constitute an event of default under the trust deed governing the Convertible Bonds. Upon the occurrence of an event of default, the full principal amount, together with accrued but unpaid interest, of the Convertible Bonds then outstanding will become due and payable. A default under the trust deed could also lead to a default under agreements governing any of our indebtedness outstanding at the time. If we are unable to redeem the Convertible Bonds at maturity or upon the occurrence of certain events specified by the trust deed governing the Convertible Bonds, we may need to seek alternative financing arrangements, which could impose restrictions on our operations and business. We cannot assure you that such alternative financing will be available to us on acceptable terms, if at all.</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Servicing the Convertible Bonds will require a significant amount of cash, and we may not have sufficient cash flow from our business to make payments on the Convertible Bonds.</w:t>
      </w:r>
    </w:p>
    <w:p>
      <w:pPr>
        <w:spacing w:after="0" w:line="15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the Convertible Bonds depends on our future performance, which is subject to economic, financial, competitive and other factors beyond our control. Our business may not generate sufficient cash flow from operations in the future to service the Convertible Bonds. If we are unable to generate sufficient cash flow, we may be required to adopt one or more alternatives, such as selling assets, restructuring debt or obtaining additional share capital on terms that may be unfavorable to us or highly dilutive. Our ability to refinance our indebtedness will depend on the capital markets and our financial condition at the time we seek to refinance such indebtedness. We may not be able to engage in any of these activities or engage in these activities on desirable terms, which could result in a default on our debt obligations.</w:t>
      </w:r>
    </w:p>
    <w:p>
      <w:pPr>
        <w:spacing w:after="0" w:line="3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engaged and plan to engage in various acquisitions and strategic partnerships in the future. If we engage in acquisitions or strategic partnerships, this may increase our capital requirements, dilute our shareholders and ADS holders, cause us to incur debt or assume contingent liabilities and subject us to other risks.</w:t>
      </w:r>
    </w:p>
    <w:p>
      <w:pPr>
        <w:spacing w:after="0" w:line="175"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have engaged and plan to continue to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176" w:lineRule="exact"/>
        <w:rPr>
          <w:sz w:val="20"/>
          <w:szCs w:val="20"/>
          <w:color w:val="auto"/>
        </w:rPr>
      </w:pPr>
    </w:p>
    <w:p>
      <w:pPr>
        <w:ind w:left="340" w:hanging="238"/>
        <w:spacing w:after="0"/>
        <w:tabs>
          <w:tab w:leader="none" w:pos="340" w:val="left"/>
        </w:tabs>
        <w:numPr>
          <w:ilvl w:val="0"/>
          <w:numId w:val="2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increased operating expenses and cash requirements;</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assumption of indebtedness or contingent liabilities;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issuance of our equity securities which would result in dilution to our shareholders and ADS holders;</w:t>
      </w:r>
    </w:p>
    <w:p>
      <w:pPr>
        <w:spacing w:after="0" w:line="9" w:lineRule="exact"/>
        <w:rPr>
          <w:rFonts w:ascii="Times New Roman" w:cs="Times New Roman" w:eastAsia="Times New Roman" w:hAnsi="Times New Roman"/>
          <w:sz w:val="18"/>
          <w:szCs w:val="18"/>
          <w:color w:val="0A2E94"/>
        </w:rPr>
      </w:pPr>
    </w:p>
    <w:p>
      <w:pPr>
        <w:ind w:left="340" w:right="560" w:hanging="238"/>
        <w:spacing w:after="0" w:line="250" w:lineRule="auto"/>
        <w:tabs>
          <w:tab w:leader="none" w:pos="340" w:val="left"/>
        </w:tabs>
        <w:numPr>
          <w:ilvl w:val="0"/>
          <w:numId w:val="2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assimilation of operations, intellectual property, products and product candidates of an acquired company, including difficulties associated with integrating new personnel;</w:t>
      </w:r>
    </w:p>
    <w:p>
      <w:pPr>
        <w:ind w:left="340" w:hanging="238"/>
        <w:spacing w:after="0"/>
        <w:tabs>
          <w:tab w:leader="none" w:pos="340" w:val="left"/>
        </w:tabs>
        <w:numPr>
          <w:ilvl w:val="0"/>
          <w:numId w:val="26"/>
        </w:numPr>
        <w:rPr>
          <w:rFonts w:ascii="Times New Roman" w:cs="Times New Roman" w:eastAsia="Times New Roman" w:hAnsi="Times New Roman"/>
          <w:sz w:val="17"/>
          <w:szCs w:val="17"/>
          <w:color w:val="0A2E94"/>
        </w:rPr>
      </w:pPr>
      <w:r>
        <w:rPr>
          <w:rFonts w:ascii="Times New Roman" w:cs="Times New Roman" w:eastAsia="Times New Roman" w:hAnsi="Times New Roman"/>
          <w:sz w:val="17"/>
          <w:szCs w:val="17"/>
          <w:color w:val="auto"/>
        </w:rPr>
        <w:t>the diversion of our management’s attention from our existing product programs and initiatives in pursuing such an acquisition or strategic partnership;</w:t>
      </w:r>
    </w:p>
    <w:p>
      <w:pPr>
        <w:spacing w:after="0" w:line="20" w:lineRule="exact"/>
        <w:rPr>
          <w:rFonts w:ascii="Times New Roman" w:cs="Times New Roman" w:eastAsia="Times New Roman" w:hAnsi="Times New Roman"/>
          <w:sz w:val="17"/>
          <w:szCs w:val="17"/>
          <w:color w:val="0A2E94"/>
        </w:rPr>
      </w:pPr>
    </w:p>
    <w:p>
      <w:pPr>
        <w:ind w:left="340" w:hanging="238"/>
        <w:spacing w:after="0"/>
        <w:tabs>
          <w:tab w:leader="none" w:pos="340" w:val="left"/>
        </w:tabs>
        <w:numPr>
          <w:ilvl w:val="0"/>
          <w:numId w:val="2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9" w:lineRule="exact"/>
        <w:rPr>
          <w:rFonts w:ascii="Times New Roman" w:cs="Times New Roman" w:eastAsia="Times New Roman" w:hAnsi="Times New Roman"/>
          <w:sz w:val="18"/>
          <w:szCs w:val="18"/>
          <w:color w:val="0A2E94"/>
        </w:rPr>
      </w:pPr>
    </w:p>
    <w:p>
      <w:pPr>
        <w:ind w:left="340" w:right="80" w:hanging="238"/>
        <w:spacing w:after="0" w:line="250" w:lineRule="auto"/>
        <w:tabs>
          <w:tab w:leader="none" w:pos="340" w:val="left"/>
        </w:tabs>
        <w:numPr>
          <w:ilvl w:val="0"/>
          <w:numId w:val="2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ind w:left="340" w:right="100" w:hanging="238"/>
        <w:spacing w:after="0" w:line="260" w:lineRule="auto"/>
        <w:tabs>
          <w:tab w:leader="none" w:pos="340" w:val="left"/>
        </w:tabs>
        <w:numPr>
          <w:ilvl w:val="0"/>
          <w:numId w:val="2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7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from the acquisition of RLS (USA) Inc., or RLS, and the acquisition could adversely impact our business and our operating results.</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may not be able to achieve the full potential strategic and financial benefits that we expect to achieve from the acquisition of RLS, or such benefits may be delayed or not occur at all, including, among others, as a result of unanticipated costs and loss of customers by RLS. If we fail to achieve some or all of the benefits expected to result from the acquisition, or if such benefits are delayed, our business could be harmed.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RLS may have liabilities that are not known to us and the indemnities in the purchase agreement may not offer adequate protection.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part of the acquisition, we have agreed to assume certain liabilities of RLS. In addition, there may be liabilities that we failed or were unable to discover in the course of performing due diligence investigations, including with respect to decommissioning and decontamination, or D&amp;D, requirements with respect to the closing of facilities that use and produce radioactive materials. Also, we may not have correctly assessed the significance of certain liabilities and assets identified in the course of our due diligence. Any such liabilities, individually or in the aggregate, could have a material adverse effect on our business, financial condition and results of operations. As we integrate RLS into our operations, we may learn additional information about the entity, such as unknown or contingent liabilities and issues relating to compliance with applicable laws, that could potentially have an adverse effect on our business, financial condition and results of operations.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integrate the businesses that we have acquired and/or may acquire in the future.</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Our ability to realize the anticipated benefits of acquisitions we have completed and/or may complete in the future, including the completed acquisitions of QSAM Biosciences, Inc., or QSAM, ARTMS Inc., or ARTMS, and IsoTherapeutics Group, LLC, or IsoTherapeutics, will depend on our ability to integrate those businesses with our own. In addition, we may face challenges integrating RLS into our operations, while continuing to operate RLS as a stand-alone unit following our recently completed acquisition. The combination of multiple independent businesses is a complex, costly and time-consuming process and there can be no assurance that we will be able to successfully integrate businesses into our business, or if such integration is successfully accomplished, that such integration will not be costlier or take longer than presently contemplated. If we cannot successfully integrate and manage the businesses within a reasonable time, such difficulties or delays could result in the loss of key employees from the acquired businesses, the disruption of the acquired businesses, inefficiencies, or inconsistencies in standards, controls, information technology systems, procedures and policies, and we may not be able to realize the potential and anticipated benefits of such acquisitions, which could have a material adverse effect on our business, financial position, and results of operations. We face numerous risks relating to the integrated of acquired businesses, including:</w:t>
      </w:r>
    </w:p>
    <w:p>
      <w:pPr>
        <w:spacing w:after="0" w:line="194" w:lineRule="exact"/>
        <w:rPr>
          <w:sz w:val="20"/>
          <w:szCs w:val="20"/>
          <w:color w:val="auto"/>
        </w:rPr>
      </w:pPr>
    </w:p>
    <w:p>
      <w:pPr>
        <w:ind w:left="340" w:right="280" w:hanging="238"/>
        <w:spacing w:after="0" w:line="261" w:lineRule="auto"/>
        <w:tabs>
          <w:tab w:leader="none" w:pos="340" w:val="left"/>
        </w:tabs>
        <w:numPr>
          <w:ilvl w:val="0"/>
          <w:numId w:val="2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inability to integrate effectively the operations, products, technologies and personnel of the acquired companies (some of which are in diverse geographic regions) and achieve expected synergies;</w:t>
      </w:r>
    </w:p>
    <w:p>
      <w:pPr>
        <w:ind w:left="340" w:hanging="238"/>
        <w:spacing w:after="0"/>
        <w:tabs>
          <w:tab w:leader="none" w:pos="340" w:val="left"/>
        </w:tabs>
        <w:numPr>
          <w:ilvl w:val="0"/>
          <w:numId w:val="2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potential disruption of existing business and diversion of management’s attention from day-to-day operations;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inability to maintain uniform standards, controls, procedures and policies;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need or obligation to divest portions of the acquired companies to satisfy regulatory requirements;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potential failure to identify material problems and liabilities during due diligence review of acquisition targets;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potential failure to obtain sufficient indemnification rights to fully offset possible liabilities associated with acquired businesses;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challenges associated with operating in new product segments and/or geographic regions.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maintain our licenses and realize their benefits may harm our business.</w:t>
      </w:r>
    </w:p>
    <w:p>
      <w:pPr>
        <w:spacing w:after="0" w:line="229"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We have acquired and in-licensed certain of our technologies from third parties. We may in the future acquire, in-license or invest in additional technology that we believe would be beneficial to our business. We are subject to a number of risks associated with our acquisition, in-license or investment in technology, including the following:</w:t>
      </w:r>
    </w:p>
    <w:p>
      <w:pPr>
        <w:spacing w:after="0" w:line="176" w:lineRule="exact"/>
        <w:rPr>
          <w:sz w:val="20"/>
          <w:szCs w:val="20"/>
          <w:color w:val="auto"/>
        </w:rPr>
      </w:pPr>
    </w:p>
    <w:p>
      <w:pPr>
        <w:ind w:left="340" w:hanging="238"/>
        <w:spacing w:after="0"/>
        <w:tabs>
          <w:tab w:leader="none" w:pos="340" w:val="left"/>
        </w:tabs>
        <w:numPr>
          <w:ilvl w:val="0"/>
          <w:numId w:val="2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diversion of financial and managerial resources from existing operations;</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successfully negotiating a proposed acquisition, in-license or investment in a timely manner and at a price or on terms and conditions favorable to us;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successfully combining and integrating a potential acquisition into our existing business to fully realize the benefits of such acquisition;</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impact of regulatory reviews on a proposed acquisition, in-license or investment;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outcome of any legal proceedings that may be instituted with respect to the proposed acquisition, in-license or investment.</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we fail to properly evaluate potential acquisitions, in-licenses, investments or other transactions associated with the creation of new R&amp;D programs or the maintenance of existing ones, we might not achieve the anticipated benefits of any such transaction, we might incur costs in excess of what we anticipate, and management resources and attention might be diverted from other necessary or valuable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and Product Development</w:t>
      </w:r>
    </w:p>
    <w:p>
      <w:pPr>
        <w:spacing w:after="0" w:line="225"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substantially dependent on the commercial success of Illuccix and our product candidates. If we are unable to successfully commercialize Illuccix as currently approved or to successfully obtain regulatory approvals to commercialize our other product candidates, our business, financial condition and results of operations will be materially harmed.</w:t>
      </w:r>
    </w:p>
    <w:p>
      <w:pPr>
        <w:spacing w:after="0" w:line="175" w:lineRule="exact"/>
        <w:rPr>
          <w:sz w:val="20"/>
          <w:szCs w:val="20"/>
          <w:color w:val="auto"/>
        </w:rPr>
      </w:pPr>
    </w:p>
    <w:p>
      <w:pPr>
        <w:ind w:right="200"/>
        <w:spacing w:after="0" w:line="232" w:lineRule="auto"/>
        <w:rPr>
          <w:sz w:val="20"/>
          <w:szCs w:val="20"/>
          <w:color w:val="auto"/>
        </w:rPr>
      </w:pPr>
      <w:r>
        <w:rPr>
          <w:rFonts w:ascii="Times New Roman" w:cs="Times New Roman" w:eastAsia="Times New Roman" w:hAnsi="Times New Roman"/>
          <w:sz w:val="18"/>
          <w:szCs w:val="18"/>
          <w:color w:val="auto"/>
        </w:rPr>
        <w:t xml:space="preserve">Our business and our ability to generate product revenue from the sales of diagnostic imaging agents and therapies that treat cancer and other diseases depend on continued commercialization of Illuccix, our prostate cancer imaging agent, on a global basis. Illuccix is currently approved in the United States, Australia, Canada, Denmark, Norway, and the United Kingdom for positron emission tomography, or PET, of prostate-specific membrane antigen, or PSMA, positive lesions in men with prostate cancer: (i) with suspected metastasis who are candidates for initial definitive therapy, (ii) with suspected recurrence based on elevated serum prostate-specific antigen, or PSA, level and (iii) for selection of patients with metastatic prostate cancer, for whom lutetium </w:t>
      </w:r>
      <w:r>
        <w:rPr>
          <w:rFonts w:ascii="Times New Roman" w:cs="Times New Roman" w:eastAsia="Times New Roman" w:hAnsi="Times New Roman"/>
          <w:sz w:val="29"/>
          <w:szCs w:val="29"/>
          <w:color w:val="auto"/>
          <w:vertAlign w:val="superscript"/>
        </w:rPr>
        <w:t>177</w:t>
      </w:r>
      <w:r>
        <w:rPr>
          <w:rFonts w:ascii="Times New Roman" w:cs="Times New Roman" w:eastAsia="Times New Roman" w:hAnsi="Times New Roman"/>
          <w:sz w:val="18"/>
          <w:szCs w:val="18"/>
          <w:color w:val="auto"/>
        </w:rPr>
        <w:t xml:space="preserve">Lu vipivotide tetraxetan PSMA-directed therapy is indicated. Illuccix is also commercially sold and available in New Zealand pursuant to a regulator exemption. We are also developing Illuccix for additional indications, including to monitor patient response to radioligand therapy and progression in nonmetastatic castration-resistant prostate cancer and metastatic castration-resistant prostate cancer, or mCRPC. We may also seek to further develop and seek approval for the use of Illuccix for selection of patients with metastatic prostate cancer for whom lutetium </w:t>
      </w:r>
      <w:r>
        <w:rPr>
          <w:rFonts w:ascii="Times New Roman" w:cs="Times New Roman" w:eastAsia="Times New Roman" w:hAnsi="Times New Roman"/>
          <w:sz w:val="29"/>
          <w:szCs w:val="29"/>
          <w:color w:val="auto"/>
          <w:vertAlign w:val="superscript"/>
        </w:rPr>
        <w:t>177</w:t>
      </w:r>
      <w:r>
        <w:rPr>
          <w:rFonts w:ascii="Times New Roman" w:cs="Times New Roman" w:eastAsia="Times New Roman" w:hAnsi="Times New Roman"/>
          <w:sz w:val="18"/>
          <w:szCs w:val="18"/>
          <w:color w:val="auto"/>
        </w:rPr>
        <w:t>Lu vipivotide tetraxetan PSMA-directed therapy is indicated in countries where such therapy is not yet approved for use but is expected to be in the future. In January 2025, Telix received a positive decision on its MAA for Illuccix submitted in Europe via a decentralized procedure and in February 2025, Illuccix was approved in Denmark and the United Kingdom. We are currently pursuing marketing authorizations for Illuccix, either directly or in collaboration with regional commercial partners, in 18 European countries as well as countries in Asia and Latin America. We believe that obtaining these regulatory approvals and successfully developing Illuccix for additional potential indications will be important to reach the full potential utilization of Illuccix, and failure to do so could have a material adverse effect on our business.</w:t>
      </w:r>
    </w:p>
    <w:p>
      <w:pPr>
        <w:sectPr>
          <w:pgSz w:w="11900" w:h="16838" w:orient="portrait"/>
          <w:cols w:equalWidth="0" w:num="1">
            <w:col w:w="11100"/>
          </w:cols>
          <w:pgMar w:left="320" w:top="116" w:right="479" w:bottom="1440" w:gutter="0" w:footer="0" w:header="0"/>
        </w:sectPr>
      </w:pP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6" w:right="47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long-term prospects also depend on our ability to obtain regulatory approval for additional imaging and therapeutic product candidates. Regulatory approvals are subject to changing standards from time to time and the timing to obtain the required regulatory approvals is subject to many factors, some of which may be outside our control. For example, regulatory agencies may face resource constraints, causing delays in the review process, and there is no guarantee that the regulators are bound by any product development or regulatory advice offered earlier in the review process. In May 2024, we completed our submission of a biologics license application, or BLA, to the FDA for TLX250-CDx for the characterization of renal masses as clear cell renal cell carcinoma, or ccRCC. In July 2024, the FDA declined to review the BLA and issued a Refuse to File, or RTF, determination. An RTF determination is a response from the FDA following its preliminary review, communicating the FDA’s determination that the application does not include all pertinent information and data. The denial of acceptance for filing was based on a filing concern related to demonstrating adequate sterility assurance during dispensing of TLX250-CDx in the radiopharmacy production environment. While we believe that TLX250-CDx has met all sterility requirements of product release and have resubmitted the BLA, there can be no assurance that FDA will accept the BLA for review or that we will obtain regulatory approval from the FDA.</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also submitted a new drug application, or NDA, to the FDA for TLX007-CDx for the imaging of prostate cancer, which was accepted by the FDA in July 2024 and assigned a Prescription Drug User Fee Action, or PDUFA, goal date of March 24, 2025. In August 2024, we submitted an NDA for TLX101-CDx for the characterization of progressive or recurrent glioma from treatment related changes in both adult and pediatric patients. In October 2024, the FDA accepted the NDA, granted priority review and assigned a PDUFA goal date of April 26, 2025.</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adverse action by the FDA with respect to the BLA or NDAs, could delay our planned commercial development timelines or could prevent us from commercializing these product candidates. If the FDA determines that our submissions and the data supporting the submissions are not sufficient to support approval in these indications, we may be required to conduct an additional clinical trial or trials, which would increase our costs and delay the program. Any such delay or other adverse impact could have a material adverse effect on our business.</w:t>
      </w:r>
    </w:p>
    <w:p>
      <w:pPr>
        <w:spacing w:after="0" w:line="18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have not submitted any applications for regulatory approval or obtained regulatory approval for any of our therapeutic product candidates. Our most advanced therapeutic candidate, TLX591 (</w:t>
      </w:r>
      <w:r>
        <w:rPr>
          <w:rFonts w:ascii="Times New Roman" w:cs="Times New Roman" w:eastAsia="Times New Roman" w:hAnsi="Times New Roman"/>
          <w:sz w:val="29"/>
          <w:szCs w:val="29"/>
          <w:color w:val="auto"/>
          <w:vertAlign w:val="superscript"/>
        </w:rPr>
        <w:t>177</w:t>
      </w:r>
      <w:r>
        <w:rPr>
          <w:rFonts w:ascii="Times New Roman" w:cs="Times New Roman" w:eastAsia="Times New Roman" w:hAnsi="Times New Roman"/>
          <w:sz w:val="18"/>
          <w:szCs w:val="18"/>
          <w:color w:val="auto"/>
        </w:rPr>
        <w:t>Lu-rosopatamab tetraxetan), is a lutetium-labeled radio antibody-drug conjugate, or rADC, which we are evaluating in a Phase 3 clinical trial in patients with advanced prostate cancer. We dosed the first patient in this clinical trial in November 2023 in Australia. We received authorization to conduct the trial in the United States in April 2024 and are actively dosing patients at multiple clinical trial sites. We cannot be certain that TLX591, or any of our clinical trials of our other therapeutic product candidates, will generate safety and efficacy data sufficient for regulatory approval in any jurisdiction.</w:t>
      </w:r>
    </w:p>
    <w:p>
      <w:pPr>
        <w:spacing w:after="0" w:line="20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commercial success of Illuccix and our product candidates is dependent on many factors, some of which are beyond our control, including clinical development, the regulatory submission and approval process, market access or reimbursement frameworks, potential threats to our intellectual property rights and the manufacturing, marketing and sales efforts. If we are unable to continue to commercialize Illuccix or to develop, receive regulatory approval for and successfully commercialize Illuccix for other indications and for our other imaging and therapeutic product candidates, or experience delays as a result of any of these factors or otherwise, our business and results of operations could be substantially harmed.</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is a lengthy and expensive process, with uncertain timelines and outcomes. 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long-term success depends in large part on our ability to continue to successfully develop additional product candidates in imaging and therapeutic indications. Clinical testing is expensive, time consuming, difficult to design and implement, and is inherently uncertain as to outcome. Clinical failure can occur at any stage of the clinical development process and, therefore, the outcome of preclinical studies and early-stage clinical trials may not be predictive of the success of later stage clinical trials. Furthermore, the failure of any product candidates to demonstrate safety and efficacy in any clinical trial could negatively impact the perception of our company or our products and/or cause the FDA or other regulatory authorities to require additional testing before any of our product candidates are approved.</w:t>
      </w:r>
    </w:p>
    <w:p>
      <w:pPr>
        <w:spacing w:after="0" w:line="18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regulatory approval of our product candidates, including, but not limited to, the following:</w:t>
      </w:r>
    </w:p>
    <w:p>
      <w:pPr>
        <w:spacing w:after="0" w:line="162" w:lineRule="exact"/>
        <w:rPr>
          <w:sz w:val="20"/>
          <w:szCs w:val="20"/>
          <w:color w:val="auto"/>
        </w:rPr>
      </w:pPr>
    </w:p>
    <w:p>
      <w:pPr>
        <w:ind w:left="340" w:right="300" w:hanging="238"/>
        <w:spacing w:after="0" w:line="261" w:lineRule="auto"/>
        <w:tabs>
          <w:tab w:leader="none" w:pos="340" w:val="left"/>
        </w:tabs>
        <w:numPr>
          <w:ilvl w:val="0"/>
          <w:numId w:val="2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delays or failure to reach agreement with regulatory authorities on a trial design or the receipt of feedback requiring us to modify the design of our clinical trials, perform additional or unanticipated clinical trials to obtain approval or alter our regulatory strategy;</w:t>
      </w:r>
    </w:p>
    <w:p>
      <w:pPr>
        <w:ind w:left="340" w:right="140" w:hanging="238"/>
        <w:spacing w:after="0" w:line="250" w:lineRule="auto"/>
        <w:tabs>
          <w:tab w:leader="none" w:pos="340" w:val="left"/>
        </w:tabs>
        <w:numPr>
          <w:ilvl w:val="0"/>
          <w:numId w:val="2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clinical trials of our product candidates may produce negative or inconclusive results or other patient safety concerns, including undesirable side effects or other unexpected characteristics, and we may decide, or regulatory authorities may require us, to conduct additional clinical trials, suspend ongoing clinical trials or abandon product development programs, including as a result of a finding that the participants are being exposed to unacceptable health risks;</w:t>
      </w:r>
    </w:p>
    <w:p>
      <w:pPr>
        <w:spacing w:after="0" w:line="1" w:lineRule="exact"/>
        <w:rPr>
          <w:rFonts w:ascii="Times New Roman" w:cs="Times New Roman" w:eastAsia="Times New Roman" w:hAnsi="Times New Roman"/>
          <w:sz w:val="18"/>
          <w:szCs w:val="18"/>
          <w:color w:val="0A2E94"/>
        </w:rPr>
      </w:pPr>
    </w:p>
    <w:p>
      <w:pPr>
        <w:ind w:left="340" w:right="40" w:hanging="238"/>
        <w:spacing w:after="0" w:line="250" w:lineRule="auto"/>
        <w:tabs>
          <w:tab w:leader="none" w:pos="340" w:val="left"/>
        </w:tabs>
        <w:numPr>
          <w:ilvl w:val="0"/>
          <w:numId w:val="2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enrollment in our clinical trials may be slower than we anticipate or we may not be able to enroll the number of patients that we expect, including as a result of competition with other ongoing clinical trials for the same indications as our product candidates or because the patient population may be limited for orphan indications;</w:t>
      </w:r>
    </w:p>
    <w:p>
      <w:pPr>
        <w:spacing w:after="0" w:line="1" w:lineRule="exact"/>
        <w:rPr>
          <w:rFonts w:ascii="Times New Roman" w:cs="Times New Roman" w:eastAsia="Times New Roman" w:hAnsi="Times New Roman"/>
          <w:sz w:val="18"/>
          <w:szCs w:val="18"/>
          <w:color w:val="0A2E94"/>
        </w:rPr>
      </w:pPr>
    </w:p>
    <w:p>
      <w:pPr>
        <w:ind w:left="340" w:right="200" w:hanging="238"/>
        <w:spacing w:after="0" w:line="250" w:lineRule="auto"/>
        <w:tabs>
          <w:tab w:leader="none" w:pos="340" w:val="left"/>
        </w:tabs>
        <w:numPr>
          <w:ilvl w:val="0"/>
          <w:numId w:val="2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regulators may revise the requirements for approving our product candidates, even after providing a positive opinion on or otherwise reviewing and providing comments on a clinical trial protocol, or such requirements may not be as we anticipate;</w:t>
      </w:r>
    </w:p>
    <w:p>
      <w:pPr>
        <w:ind w:left="340" w:right="80" w:hanging="238"/>
        <w:spacing w:after="0" w:line="250" w:lineRule="auto"/>
        <w:tabs>
          <w:tab w:leader="none" w:pos="340" w:val="left"/>
        </w:tabs>
        <w:numPr>
          <w:ilvl w:val="0"/>
          <w:numId w:val="2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delays or failure in obtaining the necessary authorization from regulatory authorities or institutional review boards to permit us or our investigators to commence a clinical trial, conduct a clinical trial at a prospective trial site, or the suspension or termination of a clinical trial once commenced;</w:t>
      </w:r>
    </w:p>
    <w:p>
      <w:pPr>
        <w:ind w:left="340" w:hanging="238"/>
        <w:spacing w:after="0"/>
        <w:tabs>
          <w:tab w:leader="none" w:pos="340" w:val="left"/>
        </w:tabs>
        <w:numPr>
          <w:ilvl w:val="0"/>
          <w:numId w:val="2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delays or failure to reach agreement on acceptable terms with prospective clinical trial sites or contract research organizations, or CROs;</w:t>
      </w:r>
    </w:p>
    <w:p>
      <w:pPr>
        <w:spacing w:after="0" w:line="9" w:lineRule="exact"/>
        <w:rPr>
          <w:rFonts w:ascii="Times New Roman" w:cs="Times New Roman" w:eastAsia="Times New Roman" w:hAnsi="Times New Roman"/>
          <w:sz w:val="18"/>
          <w:szCs w:val="18"/>
          <w:color w:val="0A2E94"/>
        </w:rPr>
      </w:pPr>
    </w:p>
    <w:p>
      <w:pPr>
        <w:ind w:left="340" w:right="180" w:hanging="238"/>
        <w:spacing w:after="0" w:line="250" w:lineRule="auto"/>
        <w:tabs>
          <w:tab w:leader="none" w:pos="340" w:val="left"/>
        </w:tabs>
        <w:numPr>
          <w:ilvl w:val="0"/>
          <w:numId w:val="2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delays in manufacturing, testing, releasing, validating or importing/exporting sufficient stable quantities of our product candidates for use in clinical trials or the inability to do any of the foregoing;</w:t>
      </w:r>
    </w:p>
    <w:p>
      <w:pPr>
        <w:ind w:left="340" w:right="380" w:hanging="238"/>
        <w:spacing w:after="0" w:line="250" w:lineRule="auto"/>
        <w:tabs>
          <w:tab w:leader="none" w:pos="340" w:val="left"/>
        </w:tabs>
        <w:numPr>
          <w:ilvl w:val="0"/>
          <w:numId w:val="2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number of patients required for clinical trials of our product candidates may be larger than we anticipate or participants may drop out of these clinical trials at a higher rate than we anticipate;</w:t>
      </w:r>
    </w:p>
    <w:p>
      <w:pPr>
        <w:ind w:left="340" w:right="340" w:hanging="238"/>
        <w:spacing w:after="0" w:line="250" w:lineRule="auto"/>
        <w:tabs>
          <w:tab w:leader="none" w:pos="340" w:val="left"/>
        </w:tabs>
        <w:numPr>
          <w:ilvl w:val="0"/>
          <w:numId w:val="2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third-party contractors, including manufacturers or CROs, may fail to comply with regulatory requirements, perform effectively, or meet their contractual obligations to us in a timely manner, or at all;</w:t>
      </w:r>
    </w:p>
    <w:p>
      <w:pPr>
        <w:ind w:left="340" w:hanging="238"/>
        <w:spacing w:after="0"/>
        <w:tabs>
          <w:tab w:leader="none" w:pos="340" w:val="left"/>
        </w:tabs>
        <w:numPr>
          <w:ilvl w:val="0"/>
          <w:numId w:val="2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or our investigators might be found to be non-compliant with regulatory requirements;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supply or quality of our product candidates or other materials necessary to conduct clinical trials may be insufficient or inadequate;</w:t>
      </w:r>
    </w:p>
    <w:p>
      <w:pPr>
        <w:spacing w:after="0" w:line="9" w:lineRule="exact"/>
        <w:rPr>
          <w:rFonts w:ascii="Times New Roman" w:cs="Times New Roman" w:eastAsia="Times New Roman" w:hAnsi="Times New Roman"/>
          <w:sz w:val="18"/>
          <w:szCs w:val="18"/>
          <w:color w:val="0A2E94"/>
        </w:rPr>
      </w:pPr>
    </w:p>
    <w:p>
      <w:pPr>
        <w:ind w:left="340" w:right="60" w:hanging="238"/>
        <w:spacing w:after="0" w:line="250" w:lineRule="auto"/>
        <w:tabs>
          <w:tab w:leader="none" w:pos="340" w:val="left"/>
        </w:tabs>
        <w:numPr>
          <w:ilvl w:val="0"/>
          <w:numId w:val="2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regulators or institutional review boards/ethics committees may not authorize us or our investigators to commence a clinical trial or conduct a clinical trial at a prospective trial site;</w:t>
      </w:r>
    </w:p>
    <w:p>
      <w:pPr>
        <w:ind w:left="340" w:right="660" w:hanging="238"/>
        <w:spacing w:after="0" w:line="250" w:lineRule="auto"/>
        <w:tabs>
          <w:tab w:leader="none" w:pos="340" w:val="left"/>
        </w:tabs>
        <w:numPr>
          <w:ilvl w:val="0"/>
          <w:numId w:val="2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imposition of a temporary or permanent clinical hold by regulatory authorities for a number of reasons, including after review of an IND or amendment or equivalent foreign application or amendment, as a result of a new safety finding that presents unreasonable risk to clinical trial participants, or a negative finding from an inspection of our clinical trial operations or study sites;</w:t>
      </w:r>
    </w:p>
    <w:p>
      <w:pPr>
        <w:spacing w:after="0" w:line="1" w:lineRule="exact"/>
        <w:rPr>
          <w:rFonts w:ascii="Times New Roman" w:cs="Times New Roman" w:eastAsia="Times New Roman" w:hAnsi="Times New Roman"/>
          <w:sz w:val="18"/>
          <w:szCs w:val="18"/>
          <w:color w:val="0A2E94"/>
        </w:rPr>
      </w:pPr>
    </w:p>
    <w:p>
      <w:pPr>
        <w:ind w:left="340" w:right="20" w:hanging="238"/>
        <w:spacing w:after="0" w:line="250" w:lineRule="auto"/>
        <w:tabs>
          <w:tab w:leader="none" w:pos="340" w:val="left"/>
        </w:tabs>
        <w:numPr>
          <w:ilvl w:val="0"/>
          <w:numId w:val="2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1" w:lineRule="exact"/>
        <w:rPr>
          <w:rFonts w:ascii="Times New Roman" w:cs="Times New Roman" w:eastAsia="Times New Roman" w:hAnsi="Times New Roman"/>
          <w:sz w:val="18"/>
          <w:szCs w:val="18"/>
          <w:color w:val="0A2E94"/>
        </w:rPr>
      </w:pPr>
    </w:p>
    <w:p>
      <w:pPr>
        <w:ind w:left="340" w:right="100" w:hanging="238"/>
        <w:spacing w:after="0" w:line="260" w:lineRule="auto"/>
        <w:tabs>
          <w:tab w:leader="none" w:pos="340" w:val="left"/>
        </w:tabs>
        <w:numPr>
          <w:ilvl w:val="0"/>
          <w:numId w:val="2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occurrence of adverse events associated with the product candidate that are viewed to outweigh its potential benefits, or occurrence of adverse events in trial of the same class of agents conducted by other companies;</w:t>
      </w: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right="20" w:hanging="238"/>
        <w:spacing w:after="0" w:line="261" w:lineRule="auto"/>
        <w:tabs>
          <w:tab w:leader="none" w:pos="340" w:val="left"/>
        </w:tabs>
        <w:numPr>
          <w:ilvl w:val="0"/>
          <w:numId w:val="3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any partners or collaborators that help us conduct clinical trials may face any of the above issues, and may conduct clinical trials in ways they view as advantageous to them but that are suboptimal for us; and</w:t>
      </w:r>
    </w:p>
    <w:p>
      <w:pPr>
        <w:ind w:left="340" w:right="440" w:hanging="238"/>
        <w:spacing w:after="0" w:line="260" w:lineRule="auto"/>
        <w:tabs>
          <w:tab w:leader="none" w:pos="340" w:val="left"/>
        </w:tabs>
        <w:numPr>
          <w:ilvl w:val="0"/>
          <w:numId w:val="3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negative impacts resulting from infectious disease epidemics or pandemics, including impacts to healthcare systems and our trial sites’ ability to conduct trials.</w:t>
      </w:r>
    </w:p>
    <w:p>
      <w:pPr>
        <w:spacing w:after="0" w:line="18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or are unable to successfully complete clinical trials of our product candidates or other testing, on a timely basis or at all, and/or if the results of these trials or tests are not positive or are only modestly positive or if there are safety concerns, we may:</w:t>
      </w:r>
    </w:p>
    <w:p>
      <w:pPr>
        <w:spacing w:after="0" w:line="176" w:lineRule="exact"/>
        <w:rPr>
          <w:sz w:val="20"/>
          <w:szCs w:val="20"/>
          <w:color w:val="auto"/>
        </w:rPr>
      </w:pPr>
    </w:p>
    <w:p>
      <w:pPr>
        <w:ind w:left="340" w:hanging="238"/>
        <w:spacing w:after="0"/>
        <w:tabs>
          <w:tab w:leader="none" w:pos="340" w:val="left"/>
        </w:tabs>
        <w:numPr>
          <w:ilvl w:val="0"/>
          <w:numId w:val="3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be delayed in obtaining, or not obtain at all, regulatory approval for the indication or product candidate;</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obtain regulatory approval in some countries and not in others;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be subject to additional post-marketing testing requirements; or</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have the product removed from the market after obtaining regulatory approval.</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Further, we do not know whether clinical trials will begin as planned, will need to be restructured or will be completed on schedule, or at all. Significant clinical trial delays also could shorten any periods during which we may have the exclusive right to commercialize our products, allow our competitors to bring products to market before we do or impair our ability to successfully commercialize our products, which would harm our business and results of operations. In addition, many of the factors that cause, or lead to, clinical trial delays may ultimately lead to the denial of regulatory approval of our product candidates.</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enrolling patients in our ongoing or planned clinical trials, our receipt of necessary regulatory approval could be delayed or prevented.</w:t>
      </w:r>
    </w:p>
    <w:p>
      <w:pPr>
        <w:spacing w:after="0" w:line="159"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our ongoing or planned clinical trials for our product candidates if we are unable to identify and enroll a sufficient number of eligible patients to participate in these trials as required by the FDA or other applicable foreign regulator. In addition, some of our competitors may have planned or ongoing clinical trials or expanded access programs for approved and/or investigational products that would treat the same patients as our therapeutic product candidates, and patients who would otherwise be eligible for our clinical trials may instead enroll in our competitors’ clinical trials or expanded access programs. Patient enrollment is also affected by other factors, including:</w:t>
      </w:r>
    </w:p>
    <w:p>
      <w:pPr>
        <w:spacing w:after="0" w:line="183" w:lineRule="exact"/>
        <w:rPr>
          <w:sz w:val="20"/>
          <w:szCs w:val="20"/>
          <w:color w:val="auto"/>
        </w:rPr>
      </w:pPr>
    </w:p>
    <w:p>
      <w:pPr>
        <w:ind w:left="340" w:hanging="238"/>
        <w:spacing w:after="0"/>
        <w:tabs>
          <w:tab w:leader="none" w:pos="340" w:val="left"/>
        </w:tabs>
        <w:numPr>
          <w:ilvl w:val="0"/>
          <w:numId w:val="3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severity of the disease under investigation;</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ability to recruit clinical trial investigators of appropriate competencies and experience;</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incidence and prevalence of our target indications;</w:t>
      </w:r>
    </w:p>
    <w:p>
      <w:pPr>
        <w:spacing w:after="0" w:line="9" w:lineRule="exact"/>
        <w:rPr>
          <w:rFonts w:ascii="Times New Roman" w:cs="Times New Roman" w:eastAsia="Times New Roman" w:hAnsi="Times New Roman"/>
          <w:sz w:val="18"/>
          <w:szCs w:val="18"/>
          <w:color w:val="0A2E94"/>
        </w:rPr>
      </w:pPr>
    </w:p>
    <w:p>
      <w:pPr>
        <w:ind w:left="340" w:right="80" w:hanging="238"/>
        <w:spacing w:after="0" w:line="250" w:lineRule="auto"/>
        <w:tabs>
          <w:tab w:leader="none" w:pos="340" w:val="left"/>
        </w:tabs>
        <w:numPr>
          <w:ilvl w:val="0"/>
          <w:numId w:val="3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clinicians’ and patients’ awareness of, and perceptions as to the potential advantages and risks of our product candidates in relation to other available therapies, including any new products that may be approved for the indications we are investigating;</w:t>
      </w:r>
    </w:p>
    <w:p>
      <w:pPr>
        <w:ind w:left="340" w:hanging="238"/>
        <w:spacing w:after="0"/>
        <w:tabs>
          <w:tab w:leader="none" w:pos="340" w:val="left"/>
        </w:tabs>
        <w:numPr>
          <w:ilvl w:val="0"/>
          <w:numId w:val="3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invasive procedures required to enroll patients and to obtain evidence of the product candidate’s performance during the clinical trial;</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eligibility criteria defined in the protocol for the trial in question;</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ability of our companion diagnostics to identify patients;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efforts to facilitate timely enrollment in clinical trials;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whether we are subject to a partial or full clinical hold on any of our clinical trials;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reluctance of physicians to encourage patient participation in clinical trials;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ability to monitor patients adequately during and after treatment;</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ability to obtain and maintain patient consents;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proximity and availability of clinical trial sites for prospective patients.</w:t>
      </w:r>
    </w:p>
    <w:p>
      <w:pPr>
        <w:spacing w:after="0" w:line="3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inability to enroll and retain a sufficient number of patients for our clinical trials would result in significant delays or may require us to abandon one or more clinical trials altogether. Enrollment delays in our clinical trials may result in increased development costs, which would cause the value of our company to decline and limit our ability to obtain additional financing.</w:t>
      </w:r>
    </w:p>
    <w:p>
      <w:pPr>
        <w:spacing w:after="0" w:line="17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adverse or unacceptable side effects related to Illuccix or our product candidates may delay or prevent their regulatory approval, cause us to suspend or discontinue clinical trials or abandon further development, limit the commercial value of approved indications or result in significant negative financial consequences following any regulatory approval.</w:t>
      </w:r>
    </w:p>
    <w:p>
      <w:pPr>
        <w:spacing w:after="0" w:line="175" w:lineRule="exact"/>
        <w:rPr>
          <w:sz w:val="20"/>
          <w:szCs w:val="20"/>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If Illuccix or any of our product candidates are associated with undesirable side effects or have characteristics that are unexpected in clinical trials or following approval and/or commercialization, we may need to abandon or limit their development or limit marketing to certain uses or subpopulations in which the undesirable side effects or other characteristics are less prevalent, less severe or more acceptable from a risk-benefit perspective.</w:t>
      </w: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Adverse events in our clinical trials to date have been generally predictable and typically manageable, with frequency and severity for adverse events applicable to imaging less than for therapy product candidates. The most common adverse events for Illuccix in clinical trials were nausea, diarrhea, and dizziness. The most common adverse events arising in the Phase 3 ZIRCON clinical trial of 300 patients dosed with TLX250-CDx were mild and non-serious, including nausea, procedural pain and headache. The most common severe adverse events were post-procedural hemorrhage (six events), urinary retention (three events), hypertension (three events), pyelonephritis (two events), anemia (two events), and syncope (two events). For TLX101-CDx there have been two events reported to date in an ongoing clinical trial, which are injection site reaction and nausea, both mild and non-serious.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With respect to our therapeutic product candidates, our most clinically advanced therapeutic product candidate, TLX591, has been evaluated in 242 patients across eight Phase 1 and 2 trials, including the Phase 1 ProstACT SELECT trial for which we disclosed interim data in October 2023 for 28 evaluable patients out of 30 in cohorts 1 and 2 who each received two doses. In this interim data, 21% of patients experienced grade 3 thrombocytopenia (6/28), 32% experienced grade 3 neutropenia (9/28), 21% experienced grade 4 thrombocytopenia (6/28) and 4% experienced grade 4 neutropenia (1/28). Four patients received intervention in the form of platelets, growth factors or both. Early-stage trial results should be interpreted with caution and efficacy outcomes should be evaluated for statistical and clinical significance in a larger Phase 3 randomized controlled trial.</w:t>
      </w:r>
    </w:p>
    <w:p>
      <w:pPr>
        <w:spacing w:after="0" w:line="187" w:lineRule="exact"/>
        <w:rPr>
          <w:sz w:val="20"/>
          <w:szCs w:val="20"/>
          <w:color w:val="auto"/>
        </w:rPr>
      </w:pPr>
    </w:p>
    <w:p>
      <w:pPr>
        <w:ind w:right="420"/>
        <w:spacing w:after="0" w:line="254" w:lineRule="auto"/>
        <w:rPr>
          <w:sz w:val="20"/>
          <w:szCs w:val="20"/>
          <w:color w:val="auto"/>
        </w:rPr>
      </w:pPr>
      <w:r>
        <w:rPr>
          <w:rFonts w:ascii="Times New Roman" w:cs="Times New Roman" w:eastAsia="Times New Roman" w:hAnsi="Times New Roman"/>
          <w:sz w:val="18"/>
          <w:szCs w:val="18"/>
          <w:color w:val="auto"/>
        </w:rPr>
        <w:t>The occurrence of adverse events in either our clinical trials or following regulatory approval could result in a more restrictive label for any product candidates approved for marketing or could result in the delay or denial of approval to market any product candidates by the FDA or comparable foreign regulatory authorities, which could prevent us from generating sufficient revenue from product sales or maintaining profitability. Treatment-related adverse effects could also affect patient recruitment or the ability of enrolled patients to complete the trial, result in potential product liability claims or cause patients and/or healthcare providers to elect alternative courses of treatment. In addition, these side effects may not be appropriately recognized or managed by the treating medical staff. Inadequate training or education of healthcare professionals to recognize or manage the potential side effects of Illuccix or our product candidates, if approved, could result in increased treatment-related side effects and cause patients to discontinue treatment. Any of these occurrences may harm our business, financial condition and prospects significantly.</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Results of our trials could reveal an unacceptably high severity and prevalence of side effects. In such an event, our trials could be suspended or terminated by us or the FDA or comparable foreign regulatory authorities could order us to cease further development of or deny approval of our product candidates for any or all targeted indications.</w:t>
      </w:r>
    </w:p>
    <w:p>
      <w:pPr>
        <w:spacing w:after="0" w:line="176"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18"/>
          <w:szCs w:val="18"/>
          <w:color w:val="auto"/>
        </w:rPr>
        <w:t>Adverse events in the results of trials conducted by our competitors could also cause the FDA or comparable foreign regulatory authorities to raise concerns regarding our trials and product candidates, and/or impose additional safety and tolerance procedures on us, which may be costly. Many compounds that initially showed promise in early-stage trials for treating cancer or other diseases have later been found to cause side effects that prevented further development of the compound. If such an event occurs after any of our product candidates are approved and/or commercialized, a number of potentially significant negative consequences may result, including:</w:t>
      </w:r>
    </w:p>
    <w:p>
      <w:pPr>
        <w:spacing w:after="0" w:line="183" w:lineRule="exact"/>
        <w:rPr>
          <w:sz w:val="20"/>
          <w:szCs w:val="20"/>
          <w:color w:val="auto"/>
        </w:rPr>
      </w:pPr>
    </w:p>
    <w:p>
      <w:pPr>
        <w:ind w:left="340" w:hanging="238"/>
        <w:spacing w:after="0"/>
        <w:tabs>
          <w:tab w:leader="none" w:pos="340" w:val="left"/>
        </w:tabs>
        <w:numPr>
          <w:ilvl w:val="0"/>
          <w:numId w:val="3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regulatory authorities may withdraw the approval of such product;</w:t>
      </w:r>
    </w:p>
    <w:p>
      <w:pPr>
        <w:spacing w:after="0" w:line="27" w:lineRule="exact"/>
        <w:rPr>
          <w:rFonts w:ascii="Times New Roman" w:cs="Times New Roman" w:eastAsia="Times New Roman" w:hAnsi="Times New Roman"/>
          <w:sz w:val="18"/>
          <w:szCs w:val="18"/>
          <w:color w:val="0A2E94"/>
        </w:rPr>
      </w:pPr>
    </w:p>
    <w:p>
      <w:pPr>
        <w:jc w:val="both"/>
        <w:ind w:left="340" w:hanging="238"/>
        <w:spacing w:after="0" w:line="250" w:lineRule="auto"/>
        <w:tabs>
          <w:tab w:leader="none" w:pos="340" w:val="left"/>
        </w:tabs>
        <w:numPr>
          <w:ilvl w:val="0"/>
          <w:numId w:val="3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regulatory authorities may require additional warnings on the label, such as a “black box” warning, precaution or a contraindication, or issue safety alerts, Dear Healthcare Provider letters, press releases or other communications containing warnings or other safety information about the product, or impose distribution or use restrictions;</w:t>
      </w:r>
    </w:p>
    <w:p>
      <w:pPr>
        <w:spacing w:after="0" w:line="1"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patients and/or healthcare providers may elect to utilize other treatment options that have or are perceived to have more tolerable side effects;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regulatory authorities may require one or more post-marketing studies;</w:t>
      </w:r>
    </w:p>
    <w:p>
      <w:pPr>
        <w:spacing w:after="0" w:line="9" w:lineRule="exact"/>
        <w:rPr>
          <w:rFonts w:ascii="Times New Roman" w:cs="Times New Roman" w:eastAsia="Times New Roman" w:hAnsi="Times New Roman"/>
          <w:sz w:val="18"/>
          <w:szCs w:val="18"/>
          <w:color w:val="0A2E94"/>
        </w:rPr>
      </w:pPr>
    </w:p>
    <w:p>
      <w:pPr>
        <w:ind w:left="340" w:right="260" w:hanging="238"/>
        <w:spacing w:after="0" w:line="250" w:lineRule="auto"/>
        <w:tabs>
          <w:tab w:leader="none" w:pos="340" w:val="left"/>
        </w:tabs>
        <w:numPr>
          <w:ilvl w:val="0"/>
          <w:numId w:val="3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may be required to implement a Risk Evaluation and Mitigation Strategy, or REMS, or create a medication guide outlining the risks of such side effects for distribution to patients;</w:t>
      </w:r>
    </w:p>
    <w:p>
      <w:pPr>
        <w:ind w:left="340" w:right="160" w:hanging="238"/>
        <w:spacing w:after="0" w:line="250" w:lineRule="auto"/>
        <w:tabs>
          <w:tab w:leader="none" w:pos="340" w:val="left"/>
        </w:tabs>
        <w:numPr>
          <w:ilvl w:val="0"/>
          <w:numId w:val="3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additional restrictions may be imposed on the marketing or promotion of the particular product or the manufacturing processes for the product or any component thereof;</w:t>
      </w:r>
    </w:p>
    <w:p>
      <w:pPr>
        <w:ind w:left="340" w:hanging="238"/>
        <w:spacing w:after="0"/>
        <w:tabs>
          <w:tab w:leader="none" w:pos="340" w:val="left"/>
        </w:tabs>
        <w:numPr>
          <w:ilvl w:val="0"/>
          <w:numId w:val="3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could be sued and held liable for harm caused to patients;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hanging="238"/>
        <w:spacing w:after="0"/>
        <w:tabs>
          <w:tab w:leader="none" w:pos="340" w:val="left"/>
        </w:tabs>
        <w:numPr>
          <w:ilvl w:val="0"/>
          <w:numId w:val="3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product could become less competitive; and</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reputation may suffer.</w:t>
      </w:r>
    </w:p>
    <w:p>
      <w:pPr>
        <w:spacing w:after="0" w:line="20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Further, we and our clinical trial investigators currently determine if serious adverse or unacceptable side effects are product-related in accordance with scientific practice and current knowledge. The FDA or foreign regulatory authorities may disagree with our or our clinical trial investigators’ interpretation of data from clinical trials and the conclusion by us or our clinical trial investigators that a serious adverse effect or unacceptable side effect was not product-related. The FDA or foreign regulatory authorities may require more information related to the safety profile of Illuccix or our product candidates, including additional preclinical or clinical data to support approval, which may cause us to incur additional expenses, delay or prevent the approval of one of our product candidates, and/or delay or cause us to change our commercialization plans, or we may decide to abandon the development of the product candidate altogether.</w:t>
      </w:r>
    </w:p>
    <w:p>
      <w:pPr>
        <w:spacing w:after="0" w:line="18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the affected product candidate, if approved, from achieving or maintaining market acceptance, or could substantially increase costs and expenses of development or commercialization, which could delay or prevent us from generating sufficient revenue from the sale of Illuccix or any other approved product and harm our business and results of operations.</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previous clinical trials may not be predictive of future trial results, and preliminary, interim or top-line data may be subject to change or qualification based on the complete analyses of data and, therefore, may not be predictive of the final results of a trial.</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failure can occur at any stage of the clinical development process and, therefore, the outcome of preclinical studies and early-stage clinical trials may not be predictive of the success of later stage clinical trials. For example, preliminary, interim or top-line data may be based on unaudited data provided by our clinical trial investigators.</w:t>
      </w:r>
    </w:p>
    <w:p>
      <w:pPr>
        <w:spacing w:after="0" w:line="176" w:lineRule="exact"/>
        <w:rPr>
          <w:sz w:val="20"/>
          <w:szCs w:val="20"/>
          <w:color w:val="auto"/>
        </w:rPr>
      </w:pPr>
    </w:p>
    <w:p>
      <w:pPr>
        <w:ind w:right="480"/>
        <w:spacing w:after="0" w:line="254" w:lineRule="auto"/>
        <w:rPr>
          <w:sz w:val="20"/>
          <w:szCs w:val="20"/>
          <w:color w:val="auto"/>
        </w:rPr>
      </w:pPr>
      <w:r>
        <w:rPr>
          <w:rFonts w:ascii="Times New Roman" w:cs="Times New Roman" w:eastAsia="Times New Roman" w:hAnsi="Times New Roman"/>
          <w:sz w:val="18"/>
          <w:szCs w:val="18"/>
          <w:color w:val="auto"/>
        </w:rPr>
        <w:t>Finalization and cleaning of this data may change the conclusions drawn from this unaudited data provided by our clinical trial investigators indicating less promising results than we currently anticipate. Further, there can be significant variability in safety and/or efficacy results between different trials of the same product candidate due to numerous factors, including changes in trial protocols, differences in size and type of the patient populations, adherence to the dosing regimen and other trial protocols and the dropout rate among clinical trial participants. We do not know whether any clinical trials we may conduct will demonstrate consistent or adequate efficacy and safety data sufficient to obtain regulatory approval to market our product candidates, if approved. Moreover, preclinical and clinical data are often susceptible to varying interpretations and analyses, and many companies have suffered significant setbacks in late-stage clinical trials after achieving positive results in earlier development, and we could face similar setbacks.</w:t>
      </w:r>
    </w:p>
    <w:p>
      <w:pPr>
        <w:spacing w:after="0" w:line="192"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may publicly disclose preliminary, interim or top-line data from our clinical trials. Disclosures are based on a preliminary analysis of then-available data, and the results and related findings and conclusions are subject to change as further patient data become available and following a more comprehensive review of the data related to the particular study or trial. For any study that we report preliminary, interim or top-line data, we make assumptions, estimations, calculations and conclusions as part of our analyses of data. We may not have received or had the opportunity to fully and carefully evaluate all data, or our conclusions may differ from those of the FDA or other regulatory authorities.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Consequently, the preliminary, interim or top-line data results that we report may differ from future results of the same studies, or different conclusions or considerations may qualify such results, once additional data have been received and fully evaluated or based on differing views from regulatory agencies. Preliminary, interim or top-line data also remain subject to audit and verification procedures that may result in the final data being materially different from the preliminary data we previously published. As a result, these early data points should be viewed with caution until the final data are available. Adverse differences between previous preliminary or interim data and future interim or final data could significantly harm our business.</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typically selected from a more extensive amount of available information. Furthermore, we may report interim analyses of only certain endpoints rather than all endpoints. Investors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If the preliminary, interim or top-line data that we report differ from final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7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therapeutic product candidates represents a novel approach to radiation therapy, which creates significant and potentially unpredictable challenges for us.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depends on the successful development of our therapeutic product candidates, which are designed to treat solid tumors using a novel approach to radiation therapy. There are currently few approved radiopharmaceutical therapeutic products. In addition, there has been limited historical clinical trial experience, generally, for the development of radiopharmaceutical therapeutics. As a result, the design and conduct of clinical trials for these drugs is uncertain and subject to increased risk.</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While the use of external beam radiation as a therapy for cancers has existed for decades, the use of systemic delivery of targeted radiopharmaceuticals in general is relatively new, including for both beta- and alpha-emitting therapies. It is difficult to accurately predict the challenges we may incur for our therapeutic product candidates as they proceed through clinical trials. In addition, assessments of the long-term safety of targeted beta- and alpha-emitting isotope therapies have been limited, and there may be long-term effects from treatment with our therapeutic product candidates that we cannot predict at this time.</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difficulties or delays in the commencement or completion, or termination or suspension, of our ongoing or planned clinical trials could result in increased costs to us, delay or limit our ability to generate revenue and adversely affect our commercial prospects.</w:t>
      </w:r>
    </w:p>
    <w:p>
      <w:pPr>
        <w:spacing w:after="0" w:line="159"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our product candidates, we must conduct extensive clinical trials to demonstrate the safety and efficacy of the product candidates in humans. Before we can initiate clinical trials for any future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or similar regulatory filing required for authorization to proceed with clinical development. The FDA or comparable foreign regulatory authorities may require us to conduct additional preclinical studies for any product candidate before it allows us to initiate clinical trials under any IND or similar regulatory filing, which may lead to delays and increase the costs of our preclinical development programs. Moreover, even if we commence clinical trials, issues may arise that could cause regulatory authorities to suspend or terminate such clinical trials. Any such delays in the commencement or completion of our ongoing or planned clinical trials for our product candidates could significantly affect our product development timelines and product development costs.</w:t>
      </w:r>
    </w:p>
    <w:p>
      <w:pPr>
        <w:spacing w:after="0" w:line="18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do not know whether our planned and ongoing trials will begin on time or be completed on schedule, if at all. The commencement, data readouts and completion of clinical trials can be delayed for a number of reasons, including delays related to:</w:t>
      </w:r>
    </w:p>
    <w:p>
      <w:pPr>
        <w:spacing w:after="0" w:line="162" w:lineRule="exact"/>
        <w:rPr>
          <w:sz w:val="20"/>
          <w:szCs w:val="20"/>
          <w:color w:val="auto"/>
        </w:rPr>
      </w:pPr>
    </w:p>
    <w:p>
      <w:pPr>
        <w:ind w:left="340" w:hanging="238"/>
        <w:spacing w:after="0"/>
        <w:tabs>
          <w:tab w:leader="none" w:pos="340" w:val="left"/>
        </w:tabs>
        <w:numPr>
          <w:ilvl w:val="0"/>
          <w:numId w:val="3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obtaining regulatory authorizations to commence a trial or reaching a consensus with regulatory authorities on trial design;</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FDA or comparable foreign regulatory authorities disagreeing as to the design or implementation of our clinical studies;</w:t>
      </w:r>
    </w:p>
    <w:p>
      <w:pPr>
        <w:spacing w:after="0" w:line="9" w:lineRule="exact"/>
        <w:rPr>
          <w:rFonts w:ascii="Times New Roman" w:cs="Times New Roman" w:eastAsia="Times New Roman" w:hAnsi="Times New Roman"/>
          <w:sz w:val="18"/>
          <w:szCs w:val="18"/>
          <w:color w:val="0A2E94"/>
        </w:rPr>
      </w:pPr>
    </w:p>
    <w:p>
      <w:pPr>
        <w:ind w:left="340" w:right="280" w:hanging="238"/>
        <w:spacing w:after="0" w:line="250" w:lineRule="auto"/>
        <w:tabs>
          <w:tab w:leader="none" w:pos="340" w:val="left"/>
        </w:tabs>
        <w:numPr>
          <w:ilvl w:val="0"/>
          <w:numId w:val="3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trial sites;</w:t>
      </w:r>
    </w:p>
    <w:p>
      <w:pPr>
        <w:ind w:left="340" w:hanging="238"/>
        <w:spacing w:after="0"/>
        <w:tabs>
          <w:tab w:leader="none" w:pos="340" w:val="left"/>
        </w:tabs>
        <w:numPr>
          <w:ilvl w:val="0"/>
          <w:numId w:val="3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obtaining approval from one or more institutional review boards, or IRBs;</w:t>
      </w:r>
    </w:p>
    <w:p>
      <w:pPr>
        <w:spacing w:after="0" w:line="9" w:lineRule="exact"/>
        <w:rPr>
          <w:rFonts w:ascii="Times New Roman" w:cs="Times New Roman" w:eastAsia="Times New Roman" w:hAnsi="Times New Roman"/>
          <w:sz w:val="18"/>
          <w:szCs w:val="18"/>
          <w:color w:val="0A2E94"/>
        </w:rPr>
      </w:pPr>
    </w:p>
    <w:p>
      <w:pPr>
        <w:ind w:left="340" w:right="540" w:hanging="238"/>
        <w:spacing w:after="0" w:line="250" w:lineRule="auto"/>
        <w:tabs>
          <w:tab w:leader="none" w:pos="340" w:val="left"/>
        </w:tabs>
        <w:numPr>
          <w:ilvl w:val="0"/>
          <w:numId w:val="3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IRBs or ethics committees refusing to approve, suspending or terminating the trial at an investigational site, precluding enrollment of additional subjects, or withdrawing their approval of the trial;</w:t>
      </w:r>
    </w:p>
    <w:p>
      <w:pPr>
        <w:ind w:left="340" w:hanging="238"/>
        <w:spacing w:after="0"/>
        <w:tabs>
          <w:tab w:leader="none" w:pos="340" w:val="left"/>
        </w:tabs>
        <w:numPr>
          <w:ilvl w:val="0"/>
          <w:numId w:val="3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changes to the clinical trial protocol;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hanging="238"/>
        <w:spacing w:after="0"/>
        <w:tabs>
          <w:tab w:leader="none" w:pos="340" w:val="left"/>
        </w:tabs>
        <w:numPr>
          <w:ilvl w:val="0"/>
          <w:numId w:val="3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delays in identifying, recruiting and training suitable clinical investigators;</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clinical sites deviating from the trial protocol or dropping out of a trial;</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manufacturing sufficient quantities of our product candidates for use in clinical trials;</w:t>
      </w:r>
    </w:p>
    <w:p>
      <w:pPr>
        <w:spacing w:after="0" w:line="9" w:lineRule="exact"/>
        <w:rPr>
          <w:rFonts w:ascii="Times New Roman" w:cs="Times New Roman" w:eastAsia="Times New Roman" w:hAnsi="Times New Roman"/>
          <w:sz w:val="18"/>
          <w:szCs w:val="18"/>
          <w:color w:val="0A2E94"/>
        </w:rPr>
      </w:pPr>
    </w:p>
    <w:p>
      <w:pPr>
        <w:ind w:left="340" w:right="160" w:hanging="238"/>
        <w:spacing w:after="0" w:line="265" w:lineRule="auto"/>
        <w:tabs>
          <w:tab w:leader="none" w:pos="340" w:val="left"/>
        </w:tabs>
        <w:numPr>
          <w:ilvl w:val="0"/>
          <w:numId w:val="36"/>
        </w:numPr>
        <w:rPr>
          <w:rFonts w:ascii="Times New Roman" w:cs="Times New Roman" w:eastAsia="Times New Roman" w:hAnsi="Times New Roman"/>
          <w:sz w:val="17"/>
          <w:szCs w:val="17"/>
          <w:color w:val="0A2E94"/>
        </w:rPr>
      </w:pPr>
      <w:r>
        <w:rPr>
          <w:rFonts w:ascii="Times New Roman" w:cs="Times New Roman" w:eastAsia="Times New Roman" w:hAnsi="Times New Roman"/>
          <w:sz w:val="17"/>
          <w:szCs w:val="17"/>
          <w:color w:val="auto"/>
        </w:rPr>
        <w:t>subjects failing to enroll or remain in our trials at the rate we expect, or failing to return for post-treatment follow-up, including subjects failing to remain in our trials due to movement restrictions, health reasons or otherwise resulting from ongoing or future public health or geopolitical concerns;</w:t>
      </w:r>
    </w:p>
    <w:p>
      <w:pPr>
        <w:ind w:left="340" w:right="660" w:hanging="238"/>
        <w:spacing w:after="0" w:line="250" w:lineRule="auto"/>
        <w:tabs>
          <w:tab w:leader="none" w:pos="340" w:val="left"/>
        </w:tabs>
        <w:numPr>
          <w:ilvl w:val="0"/>
          <w:numId w:val="3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subjects choosing alternative treatments for the indications for which we are developing our therapeutic product candidates, or participating in competing clinical trials;</w:t>
      </w:r>
    </w:p>
    <w:p>
      <w:pPr>
        <w:ind w:left="340" w:hanging="238"/>
        <w:spacing w:after="0"/>
        <w:tabs>
          <w:tab w:leader="none" w:pos="340" w:val="left"/>
        </w:tabs>
        <w:numPr>
          <w:ilvl w:val="0"/>
          <w:numId w:val="3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lack of adequate funding to continue the clinical trial or incurring greater costs than we anticipate;</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subjects experiencing severe or serious unexpected drug-related adverse effects;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occurrence of serious adverse events in trials of the same class of agents conducted by other companies;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selection of clinical endpoints that require prolonged periods of clinical observation or extended analysis of the resulting data;</w:t>
      </w:r>
    </w:p>
    <w:p>
      <w:pPr>
        <w:spacing w:after="0" w:line="9" w:lineRule="exact"/>
        <w:rPr>
          <w:rFonts w:ascii="Times New Roman" w:cs="Times New Roman" w:eastAsia="Times New Roman" w:hAnsi="Times New Roman"/>
          <w:sz w:val="18"/>
          <w:szCs w:val="18"/>
          <w:color w:val="0A2E94"/>
        </w:rPr>
      </w:pPr>
    </w:p>
    <w:p>
      <w:pPr>
        <w:ind w:left="340" w:hanging="238"/>
        <w:spacing w:after="0" w:line="250" w:lineRule="auto"/>
        <w:tabs>
          <w:tab w:leader="none" w:pos="340" w:val="left"/>
        </w:tabs>
        <w:numPr>
          <w:ilvl w:val="0"/>
          <w:numId w:val="3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failure of a facility manufacturing our product candidates or any of their components to produce clinical trial materials in accordance with current good manufacturing practice requirements, or cGMP, regulations (and similar foreign requirements) or other applicable requirements;</w:t>
      </w:r>
    </w:p>
    <w:p>
      <w:pPr>
        <w:jc w:val="both"/>
        <w:ind w:left="340" w:right="140" w:hanging="238"/>
        <w:spacing w:after="0" w:line="250" w:lineRule="auto"/>
        <w:tabs>
          <w:tab w:leader="none" w:pos="340" w:val="left"/>
        </w:tabs>
        <w:numPr>
          <w:ilvl w:val="0"/>
          <w:numId w:val="3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 facility manufacturing our product candidates or any of their components being ordered by the FDA or comparable foreign regulatory authorities to temporarily or permanently shut down due to violations of cGMP regulations (and similar foreign requirements) or other applicable requirements, or infections or cross-contaminations of product candidates in the manufacturing process;</w:t>
      </w:r>
    </w:p>
    <w:p>
      <w:pPr>
        <w:spacing w:after="0" w:line="1"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any transfer of manufacturing processes to alternate facilities or any other changes to our manufacturing process that may be necessary or desired;</w:t>
      </w:r>
    </w:p>
    <w:p>
      <w:pPr>
        <w:spacing w:after="0" w:line="9" w:lineRule="exact"/>
        <w:rPr>
          <w:rFonts w:ascii="Times New Roman" w:cs="Times New Roman" w:eastAsia="Times New Roman" w:hAnsi="Times New Roman"/>
          <w:sz w:val="18"/>
          <w:szCs w:val="18"/>
          <w:color w:val="0A2E94"/>
        </w:rPr>
      </w:pPr>
    </w:p>
    <w:p>
      <w:pPr>
        <w:ind w:left="340" w:right="580" w:hanging="238"/>
        <w:spacing w:after="0" w:line="265" w:lineRule="auto"/>
        <w:tabs>
          <w:tab w:leader="none" w:pos="340" w:val="left"/>
        </w:tabs>
        <w:numPr>
          <w:ilvl w:val="0"/>
          <w:numId w:val="36"/>
        </w:numPr>
        <w:rPr>
          <w:rFonts w:ascii="Times New Roman" w:cs="Times New Roman" w:eastAsia="Times New Roman" w:hAnsi="Times New Roman"/>
          <w:sz w:val="17"/>
          <w:szCs w:val="17"/>
          <w:color w:val="0A2E94"/>
        </w:rPr>
      </w:pPr>
      <w:r>
        <w:rPr>
          <w:rFonts w:ascii="Times New Roman" w:cs="Times New Roman" w:eastAsia="Times New Roman" w:hAnsi="Times New Roman"/>
          <w:sz w:val="17"/>
          <w:szCs w:val="17"/>
          <w:color w:val="auto"/>
        </w:rPr>
        <w:t>third-party clinical investigators losing the licenses or permits necessary to perform our clinical trials, not performing our clinical trials on our anticipated schedule or consistent with the clinical trial protocol, good clinical practice, or GCP, requirements or other regulatory requirements;</w:t>
      </w:r>
    </w:p>
    <w:p>
      <w:pPr>
        <w:ind w:left="340" w:hanging="238"/>
        <w:spacing w:after="0"/>
        <w:tabs>
          <w:tab w:leader="none" w:pos="340" w:val="left"/>
        </w:tabs>
        <w:numPr>
          <w:ilvl w:val="0"/>
          <w:numId w:val="3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third-party contractors not performing data collection or analysis in a timely or accurate manner; or</w:t>
      </w:r>
    </w:p>
    <w:p>
      <w:pPr>
        <w:spacing w:after="0" w:line="9" w:lineRule="exact"/>
        <w:rPr>
          <w:rFonts w:ascii="Times New Roman" w:cs="Times New Roman" w:eastAsia="Times New Roman" w:hAnsi="Times New Roman"/>
          <w:sz w:val="18"/>
          <w:szCs w:val="18"/>
          <w:color w:val="0A2E94"/>
        </w:rPr>
      </w:pPr>
    </w:p>
    <w:p>
      <w:pPr>
        <w:ind w:left="340" w:right="100" w:hanging="238"/>
        <w:spacing w:after="0" w:line="255" w:lineRule="auto"/>
        <w:tabs>
          <w:tab w:leader="none" w:pos="340" w:val="left"/>
        </w:tabs>
        <w:numPr>
          <w:ilvl w:val="0"/>
          <w:numId w:val="3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86"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or diagnostic,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or ethics committees for reexamination, which may impact the costs, timing or successful completion of a clinical trial.</w:t>
      </w:r>
    </w:p>
    <w:p>
      <w:pPr>
        <w:spacing w:after="0" w:line="188"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Any delays in completing our clinical trials will increase our costs, slow down our product candidate development and approval process and jeopardize our ability to commence product sales and generate revenues. Such delays could also shorten any period during which we may have the exclusive right to commercialize our product candidates and our competitors may be able to bring products to market before we do, and the commercial viability of our product candidates could be significantly reduced. In addition, many of the factors that cause, or lead to, the termination or suspension of, or a delay in the commencement or completion of, clinical trials may also ultimately lead to the denial of regulatory approval of a product candidate. Any of these occurrences may harm our business, financial condition and prospects significantly.</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If we encounter difficulties enrolling subjects in our clinical trials, our clinical development activities could be delayed or otherwise adversely affected.</w:t>
      </w:r>
    </w:p>
    <w:p>
      <w:pPr>
        <w:spacing w:after="0" w:line="15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our product candidates if we are unable to identify and enroll a sufficient number of eligible patients to participate in these trials as required by the FDA or similar regulatory authorities outside the United States. Subject enrollment is affected by many factors including the size and nature of the patient population, the severity of the disease under investigation, the availability and efficacy of approved drugs and diagnostics for the disease under investigation, the proximity of patients to clinical sites, the eligibility and exclusion criteria for the trial, the design of the clinical trial, the risk that enrolled patients will not complete a clinical trial, our ability to recruit clinical trial investigators with the appropriate competencies and experience, patient referral practices of physicians, the ability to monitor patients adequately during and after treatment, competing clinical trials and clinicians’ and patients’ perceptions as to the potential advantages and risks of the product candidate being studied in relation to other available therapies, including any new products that may be approved for the indications we are investigating as well as any product candidates under development.</w:t>
      </w:r>
    </w:p>
    <w:p>
      <w:pPr>
        <w:spacing w:after="0" w:line="1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will be required to identify and enroll a sufficient number of subjects for each of our clinical trials. The potential patient populations for our clinical trials may be narrow, and we may experience difficulties in identifying and enrolling a sufficient number of patients in our clinical trials. We may not be able to initiate or continue clinical trials if we are unable to locate a sufficient number of eligible subjects to participate in the clinical trials required by the FDA or comparable foreign regulatory authorities.</w:t>
      </w:r>
    </w:p>
    <w:p>
      <w:pPr>
        <w:spacing w:after="0" w:line="180" w:lineRule="exact"/>
        <w:rPr>
          <w:sz w:val="20"/>
          <w:szCs w:val="20"/>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Other pharmaceutical or biotechnology companies targeting the same diseases and intended uses as our product candidates are recruiting for their clinical trials from these patient populations, which may make it more difficult to fully enroll our clinical trials. Our inability to enroll a sufficient number of subjects for any of our future clinical trials would result in significant delays or may require us to abandon one or more clinical trials altogether. In addition, the process of finding eligible subjects may prove costly.</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Moreover, we rely on CROs and clinical trial sites to ensure proper and timely conduct of our clinical trials and, while we intend to enter into agreements governing their services, we will have limited influence over their actual performance. We cannot assure you that our assumptions used in determining expected clinical trial timelines are correct or that we will not experience delays in enrollment, which would result in the delay of completion of such trials beyond our expected timelines.</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their radioactive nature, Illuccix and our product candidates have time-limited stability, and as a result, we may encounter difficulties with fulfilment and logistics.</w:t>
      </w:r>
    </w:p>
    <w:p>
      <w:pPr>
        <w:spacing w:after="0" w:line="15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radioactive components of Illuccix and our product candidates have short-half lives, which refers to the time it takes for the radioactivity to decrease by 50%. Radioactivity decay reduces the potential effectiveness of the radioactive component of Illuccix and our product candidates, which requires us to manufacture and deliver Illuccix and our product candidates for use in clinical trials to patients in a timely manner.</w:t>
      </w:r>
    </w:p>
    <w:p>
      <w:pPr>
        <w:spacing w:after="0" w:line="176" w:lineRule="exact"/>
        <w:rPr>
          <w:sz w:val="20"/>
          <w:szCs w:val="20"/>
          <w:color w:val="auto"/>
        </w:rPr>
      </w:pPr>
    </w:p>
    <w:p>
      <w:pPr>
        <w:ind w:right="280"/>
        <w:spacing w:after="0" w:line="230" w:lineRule="auto"/>
        <w:rPr>
          <w:sz w:val="20"/>
          <w:szCs w:val="20"/>
          <w:color w:val="auto"/>
        </w:rPr>
      </w:pPr>
      <w:r>
        <w:rPr>
          <w:rFonts w:ascii="Times New Roman" w:cs="Times New Roman" w:eastAsia="Times New Roman" w:hAnsi="Times New Roman"/>
          <w:sz w:val="18"/>
          <w:szCs w:val="18"/>
          <w:color w:val="auto"/>
        </w:rPr>
        <w:t>Illuccix is designed to provide, and has been approved in the United States, for four hours of stability following radiolabeling, meaning that the patient must intravenously receive Illuccix within four hours of radiolabeling, which refers to the final manufacturing step of adding a radioisotope to the product or product candidate. TLX101-CDx is designed to provide for ten hours of stability following radiolabeling. TLX250-CDx is designed to provide 96 hours of stability following radiolabeling and TLX007-CDx is designed to provide extended stability post-production due to its higher radioactivity, compared to currently approved gallium-68 (</w:t>
      </w:r>
      <w:r>
        <w:rPr>
          <w:rFonts w:ascii="Times New Roman" w:cs="Times New Roman" w:eastAsia="Times New Roman" w:hAnsi="Times New Roman"/>
          <w:sz w:val="29"/>
          <w:szCs w:val="29"/>
          <w:color w:val="auto"/>
          <w:vertAlign w:val="superscript"/>
        </w:rPr>
        <w:t>68</w:t>
      </w:r>
      <w:r>
        <w:rPr>
          <w:rFonts w:ascii="Times New Roman" w:cs="Times New Roman" w:eastAsia="Times New Roman" w:hAnsi="Times New Roman"/>
          <w:sz w:val="18"/>
          <w:szCs w:val="18"/>
          <w:color w:val="auto"/>
        </w:rPr>
        <w:t>Ga) PSMA-PET imaging agents, following radiolabeling. We expect our other product candidates to also have time-limited stability following radiolabeling based on applicable half-life.</w:t>
      </w:r>
    </w:p>
    <w:p>
      <w:pPr>
        <w:spacing w:after="0" w:line="3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color w:val="auto"/>
        </w:rPr>
        <w:t>Our products and product candidates are commonly manufactured as a cold-kit, namely Illuccix and TLX007-CDx, enabling longer shelf storage of between 12-24 months prior to radiolabeling for specific patient administration on an as-needed basis. As such, our product candidates must be radiolabeled on an as-needed basis, and shipped almost immediately thereafter. Because of this, specific radiolabeled patient doses of Illuccix or our product candidates cannot be “stock-piled” and stored for even a small number of days ahead of shipment, we or any third-party pharmacy network or hospital must be able to radiolabel them on an as-needed rolling basis. Any delay, even if seemingly insignificant, could result in an immediate and substantial impact on our ability to deliver the product candidate to patients. Any significant delays in delivering Illuccix or our product candidates to patients could damage our reputation and result in deviations from our clinical trial protocols, which in turn could affect our ability to advance the clinical development of our current and future product candidates on a timely basis, or at all. In addition, we currently rely on our third-party radiopharmacy partners for the production of Illuccix for commercial supply in the United States, and expect to rely upon third-party radiopharmacy partners for the production of TLX007-CDx. We cannot be sure that these manufacturers will be able to meet our demand for Illuccix or TLX007-CDx on a timely basis.</w:t>
      </w:r>
    </w:p>
    <w:p>
      <w:pPr>
        <w:spacing w:after="0" w:line="192"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With respect to our product candidates, as we continue to scale our operations and enroll larger clinical trials, and prepare for potential commercialization, we will need to scale our shipping abilities. Labor disputes, government restrictions, work stoppages, pandemics, derailments, damage or loss events, adverse weather conditions, other events beyond our control could interrupt or delay transportation, which could result in the loss or damage of Illuccix or any product candidates with similar stabilization restrictions. We have insurance which covers material loss or damage to Illuccix while in partner control or during transit, subject to customary insurance limitations and restrictions. Our insurance may not cover all instances worldwide.</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we or our manufacturers are unable to meet the challenges posed by the time-limitations inherent in the composition of Illuccix or any of our product candidates, it would adversely affect our business, financial condition, results of operations and prospects.</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or our decisions to prioritize the development of certain product candidates over others may later prove wrong.</w:t>
      </w:r>
    </w:p>
    <w:p>
      <w:pPr>
        <w:spacing w:after="0" w:line="15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Part of our strategy involves identifying and developing product candidates to build a pipeline of product candidates. Our diagnostic and therapeutic discovery or development efforts may not be successful in identifying compounds that are useful in diagnosing or treating cancer or other diseases. Our research programs may initially show promise in identifying potential product candidates, yet fail to yield product candidates for clinical development for a number of reasons, including:</w:t>
      </w:r>
    </w:p>
    <w:p>
      <w:pPr>
        <w:spacing w:after="0" w:line="180" w:lineRule="exact"/>
        <w:rPr>
          <w:sz w:val="20"/>
          <w:szCs w:val="20"/>
          <w:color w:val="auto"/>
        </w:rPr>
      </w:pPr>
    </w:p>
    <w:p>
      <w:pPr>
        <w:ind w:left="340" w:hanging="238"/>
        <w:spacing w:after="0"/>
        <w:tabs>
          <w:tab w:leader="none" w:pos="340" w:val="left"/>
        </w:tabs>
        <w:numPr>
          <w:ilvl w:val="0"/>
          <w:numId w:val="3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research methodology used may not be successful in identifying potential product candidates;</w:t>
      </w:r>
    </w:p>
    <w:p>
      <w:pPr>
        <w:spacing w:after="0" w:line="27" w:lineRule="exact"/>
        <w:rPr>
          <w:rFonts w:ascii="Times New Roman" w:cs="Times New Roman" w:eastAsia="Times New Roman" w:hAnsi="Times New Roman"/>
          <w:sz w:val="18"/>
          <w:szCs w:val="18"/>
          <w:color w:val="0A2E94"/>
        </w:rPr>
      </w:pPr>
    </w:p>
    <w:p>
      <w:pPr>
        <w:ind w:left="340" w:right="80" w:hanging="238"/>
        <w:spacing w:after="0" w:line="250" w:lineRule="auto"/>
        <w:tabs>
          <w:tab w:leader="none" w:pos="340" w:val="left"/>
        </w:tabs>
        <w:numPr>
          <w:ilvl w:val="0"/>
          <w:numId w:val="3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be products that will receive regulatory approval and/or achieve market acceptance; or</w:t>
      </w:r>
    </w:p>
    <w:p>
      <w:pPr>
        <w:ind w:left="340" w:hanging="238"/>
        <w:spacing w:after="0"/>
        <w:tabs>
          <w:tab w:leader="none" w:pos="340" w:val="left"/>
        </w:tabs>
        <w:numPr>
          <w:ilvl w:val="0"/>
          <w:numId w:val="3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potential product candidates may not be effective in treating their targeted diseases or yield clinically significant outcomes.</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currently advancing multiple imaging and therapeutic product candidates in clinical development, which may create a strain on our limited human and financial resources. As a result, we may not be able to provide sufficient resources to any single product candidate to permit the successful development and commercialization of such product candidate, which could result in material harm to our business. Further, we have limited financial and managerial resources, and we can only focus our research programs on developing product candidates for certain indications.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result, we may forego or delay pursuit of opportunities with other product candidates or the same product candidate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strategy involves pairing our diagnostic imaging product or product candidates with a complementary therapeutic product candidate, and we may not be successful in developing both the diagnostic and therapeutic product candidates that are designed to be paired, which could impact the successful development of both.</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certain targets for which we are developing drug or biological candidates for treatment use, we are developing diagnostic imaging agents to help inform whether a particular patient’s disease condition is appropriate for treatment with our drug or biological candidate. For example, we are using Illuccix as the paired diagnostic to our therapeutic product candidate, TLX591 (in addition to Illuccix being previously studied and used in the VISION trial as a diagnostic for Novartis’ Pluvicto radioligand therapy) and we are developing TLX300-CDx as the paired diagnostic to evaluate the potential utility of TLX300, and similarly we are developing paired diagnostics for our other therapeutic product candidate development programs. We may not be successful in developing an appropriate diagnostic imaging agent or its development may cause a delay or result in expenditure of more funds than we currently anticipate. In addition, the development of a diagnostic imaging agent will be subject to FDA review and approval, which may be delayed or not obtained, or require additional development and testing than currently planned. If the FDA considers the diagnostic imaging agent to be required for the use of the therapeutic product candidate, the FDA may require the approval of the diagnostic imaging agent before it can approve the therapeutic product candidate. Equivalent foreign regulatory review and approval would also be required before the product could be supplied for use in patient treatment. Failure to successfully develop and obtain regulatory approval for a diagnostic imaging agent may delay FDA or foreign regulatory approval of a drug or biological candidate intended for therapeutic use and delay or adversely affect commercialization of that drug or biological candidate, or require us to engineer or identify alternative solutions to select patients who are most likely to benefit from our drug or biological candidates.</w:t>
      </w:r>
    </w:p>
    <w:p>
      <w:pPr>
        <w:spacing w:after="0" w:line="18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15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 discovery, development and commercialization of new diagnostics and therapies is highly competitive, particularly in the cancer field. We face competition with respect to Illuccix and will face competition with respect to any product candidates that we are developing and may seek to commercialize in the future, from major pharmaceutical companies, specialty pharmaceutical companies, biotechnology companies, academic institutions and governmental agencies as well as public and private research institutions worldwide, many of which have significantly greater financial resources and expertise in research and development, manufacturing, preclinical studies, conducting clinical trials, obtaining regulatory approvals and marketing approved products than we do.</w:t>
      </w:r>
    </w:p>
    <w:p>
      <w:pPr>
        <w:spacing w:after="0" w:line="187"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There are a number of major pharmaceutical, specialty pharmaceutical and biotechnology companies that currently market and sell therapies and/or are pursuing the development of therapies for the treatment of cancer and the other disease indications for which we are developing our product candidates.</w:t>
      </w:r>
    </w:p>
    <w:p>
      <w:pPr>
        <w:spacing w:after="0" w:line="16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With respect to Illuccix, our main competitors in the United States include companies with approved PSMA-PET diagnostics, including Novartis AG, Lantheus Holdings, Inc. and The Bracco Group (through its Blue Earth Diagnostics affiliate). Certain academic institutions, like University of California, Los Angeles and University of California, San Francisco, also hold a license for a commercial PSMA-PET diagnostic. Our main competitors also include companies developing PSMA imaging agents, including Curium Holding France S.A.S., Clarity Pharmaceuticals Limited, ABX advanced biochemical compounds GmbH, Isotopia Molecular Imaging Ltd., Itel Group, ITM Isotope Technologies Munich SE, Five Eleven Pharma Inc., FutureChem Co. Ltd., Radiomedix, Inc., CellBion Co., Ltd., Norroy Biosciences Co. Ltd., HTA, and Jiangsu Hengrui Pharmaceuticals Company Ltd. Our competitors will also include companies developing other modalities to localize prostate cancer.</w:t>
      </w:r>
    </w:p>
    <w:p>
      <w:pPr>
        <w:spacing w:after="0" w:line="18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In the kidney and brain cancer imaging fields, there are no approved agents for molecular imaging for ccRCC or glioma. Our main future competitors in these fields are companies developing agents, including ITM Isotope Technologies Munich SE, Debiopharm SA, Philogen S.p.A., Precision Molecular, Inc., Norroy Biosciences Co. Ltd., PeptiDream Inc., Five Eleven Pharma Inc., Novartis AG, The Bracco Group (through its Blue Earth Diagnostics Ltd. Subsidiary), RadioPharm Theranostics Limited, Curasight A/S, Molecular Targeting Technologies, Inc. (MTTI), and BoomRay Pharmaceuticals Co., Ltd.</w:t>
      </w:r>
    </w:p>
    <w:p>
      <w:pPr>
        <w:spacing w:after="0" w:line="16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With respect to our therapeutic product candidates, we consider our most direct competitors to be companies developing targeted radiopharmaceuticals for the treatment of cancer. There are several companies with approved beta-based radiopharmaceuticals, including Novartis AG, Sirtex Medical Limited, Boston Scientific Corporation, Acrotech Biopharma LLC, and Q BioMed Inc. and other companies developing beta-based radiopharmaceuticals, including Lantheus Holdings, Inc., Eli Lilly and Company Ltd, ITM Isotope Technologies Munich SE, Debiopharm SA, Curium Holding France S.A.S, Clarity Pharmaceuticals Limited, The Bracco Group (through its Blue Earth Therapeutics Ltd. subsidiary), and Y-mAbs Therapeutics, Inc. The beta emitting isotopes used by these companies include Iodine-131, Lutetium-177, Strontium-89, Copper-67, and Yttrium-90. A recently approved beta particle-based radiopharmaceutical is Pluvicto, which was developed by Novartis AG and approved by the FDA in 2022 for the treatment of patients with metastatic prostate cancer.</w:t>
      </w:r>
    </w:p>
    <w:p>
      <w:pPr>
        <w:spacing w:after="0" w:line="19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There are also several companies developing targeted alpha-based radiopharmaceuticals for the treatment of cancer, including Bayer AG, Novartis AG, Johnson &amp; Johnson, Abdera Therapeutics Inc., Actinium Pharmaceuticals, Inc., Aktis Oncology, Inc., Convergent Therapeutics, Inc., AstraZeneca PLC, ITM Isotope Technologies Munich SE, Perspective Therapeutics, Inc., Eli Lilly &amp; Company Ltd, RadioMedix, Inc., Bristol Myers Squibb Company, and Y-mAbs Therapeutics, Inc. These companies are targeting a wide range of solid and hematologic malignancies using various alpha-emitting isotopes, including Radium-223, Lead-212, and Actinium-225. The first and only approved alpha particle-based therapy is Xofigo (Radium-223), which was developed by Bayer AG and approved in 2013 for the treatment of prostate cancer with symptomatic bone metastases.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With respect to TLX591, our main competitors include Novartis AG, with Pluvicto as the only currently approved PSMA-targeted therapy. Our main competitors also include companies developing PSMA-targeted therapies, including AstraZeneca PLC, Convergent Therapeutics, Inc., Eli Lilly &amp; Company Ltd., Lantheus Holdings, Inc., Curium Holding SAS, ArtBio, Inc., The Bracco Group (through its Blue Earth Therapeutics Ltd. Subsidiary), Clarity Pharmaceuticals Ltd., Bayer AG, Orano Med SAS, Isotopia Molecular Imaging Ltd., ITM Isotope Technologies Munich SE, Johnson &amp; Johnson, Advancell Isotopes Pty Ltd., Alpha-9 Theranostics Inc., Cancer Targeted Technology LLC, FutureChem Co Ltd., Beijing Sinotau Intl. Pharmaceutical Technology Co., Ltd., Norroy Biosciences Co. Ltd., RadioPharm Theranostics Limited, Precision Molecular, Inc., CellBion Co., Ltd., StarPharma Holdings Limited, Amgen Inc., Crescendo Biologics Limited, Poseida Therapeutics, Inc., Regeneron Pharmaceuticals Inc., BioXcel Therapeutics, Inc., Lava Therapeutics NV, Janux Therapeutics, Inc., Vir Therapeutics, Inc., Bivision Pharmaceuticals, Inc., GlyTherix Ltd, Jiangsu Hengrui Pharmaceuticals Co., Ltd., and Full-Life Technologies Limited. Our competitors also include companies developing other modalities to treat patients in mCRPC.</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TLX250, our main competitors include ITM Isotope Technologies Munich SE, Debiopharm SA, Precision Molecular, Inc., Norroy Biosciences Co. Ltd., PeptiDream Inc, Bristol Myers Squibb Company and Bayer AG. Our competitors will also include companies developing other modalities to image renal cell carcinoma and carbonic anhydrase IX.</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TLX101, our main competitors include ITM Isotope Technologies Munich SE, Molecular Targeting Technologies, Inc. (MTTI), Novartis AG, Radiopharm Theranostics Limited, Plus Therapeutics, Inc., Ariceum Therapeutics GmbH, Boston Scientific Corporation, and Cellectar Biosciences, Inc. Our competitors will also include companies developing other modalities to treat brain cancer.</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With respect to TLX090, our main competitors include commercially available compounds that relieve pain from osteoblastic bone metastases, including Novartis AG, Bayer AG, Pfizer Inc., Purdue Pharma L.P., Roxane Laboratories, Inc., Johnson &amp; Johnson, Mallinckrodt Inc., Endo Pharmaceuticals Holdings Inc., Mylan Laboratories Inc., Noven Pharmaceuticals, Inc., Aveva Group PLC, Sandoz Group AG, Ranbaxy Laboratories Ltd., Amneal Pharmaceuticals LLC, Hoffmann-La Roche AG, Apotex Inc, Orchid Healthcare LTD, Grünenthal GmbH, as well as other companies commercializing or developing other palliative agents for osteoblastic bone metastases.</w:t>
      </w:r>
    </w:p>
    <w:p>
      <w:pPr>
        <w:spacing w:after="0" w:line="183"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With respect to TLX300, our main competitors include companies with licensed soft-tissue sarcoma treatments including Novartis AG, Adaptimmune Therapeutics plc, Agilent Technologies Inc., Boehringer Ingelheim GmbH, Esai Co., Ltd., , Mark, PharmaMar SA, Jonhson &amp; Johnson, Taiho Pharmaceuticals as well as other companies commercializing chemotherapy regimens approved in soft-tissue sarcoma. Our competitors also include companies developing therapies in the field of sarcoma including Ratio Therapeutics Inc., PTC Therapeutics, Polaris Pharmaceuticals, BioAtla. Eli Lilly and Company Ltd, Advenchen Laboratories LLC, Intensity Therapeutics Inc, Sun Pharmaceutical Industries Ltd, Exelixis Inc, Y-mAbs Therapeutics Inc, QBiotics Group Limited, Apollomics Inc, Pyxis Oncology, AADi Bioscience Inc, Moleculin Biotech Inc, Cornerstone Pharmaceuticals Inc, Shasqi Inc, Noxopharm Limited, NANO MRNA Co Ltd, Avacta Group plc, Iovance Biotherapeutics Inc, Foghorn Therapeutics Inc., OncoTherapy Science Inc. and Syena.</w:t>
      </w:r>
    </w:p>
    <w:p>
      <w:pPr>
        <w:spacing w:after="0" w:line="192"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18"/>
          <w:szCs w:val="18"/>
          <w:color w:val="auto"/>
        </w:rPr>
        <w:t>With respect to our incoming fibroblast activation protein, or FAP, portfolio, our main competitors are companies developing FAP-targeting radiotherapeutics or diagnostics, including Novartis AG, Eli Lilly and Company Ltd, 3BP Pharmaceuticals GmbH, Ratio Therapeutics Inc., Akiram Therapeutics, BoomRay Pharmaceuticals Co., Ltd., Philogen SPA, Precirix NV, Ratio Therapeutics Inc., Spago Nanomedical AB, Yantai LNC, ITM Isotope Technologies Munich SE, Lantheus Holdings, Inc, Perspective Therapeutics, Inc., Precision Molecular Inc., Sofie Biosciences, Inc., and GE Healthcare.</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currently focused on developing and commercializing Illuccix and our product candidates for the diagnosis and treatment of cancer and there are a variety of commercially available imaging and therapeutic products marketed for cancer. In many cases, cancer imaging products and therapeutics are administered in combination to enhance efficacy. Some of these products are branded and subject to patent protection, and others are available on a generic basis or prepared under the practice of pharmacy or pharmacy compounding exemptions in certain jurisdictions.</w:t>
      </w:r>
    </w:p>
    <w:p>
      <w:pPr>
        <w:spacing w:after="0" w:line="180" w:lineRule="exact"/>
        <w:rPr>
          <w:sz w:val="20"/>
          <w:szCs w:val="20"/>
          <w:color w:val="auto"/>
        </w:rPr>
      </w:pPr>
    </w:p>
    <w:p>
      <w:pPr>
        <w:ind w:right="540"/>
        <w:spacing w:after="0" w:line="256" w:lineRule="auto"/>
        <w:rPr>
          <w:sz w:val="20"/>
          <w:szCs w:val="20"/>
          <w:color w:val="auto"/>
        </w:rPr>
      </w:pPr>
      <w:r>
        <w:rPr>
          <w:rFonts w:ascii="Times New Roman" w:cs="Times New Roman" w:eastAsia="Times New Roman" w:hAnsi="Times New Roman"/>
          <w:sz w:val="18"/>
          <w:szCs w:val="18"/>
          <w:color w:val="auto"/>
        </w:rPr>
        <w:t>Many of these products are well-established and are widely accepted by physicians, patients and third-party payors. Insurers and other third-party payors may also encourage the use of generic diagnostics and therapeutics. Illuccix is, and any other product for which we obtain marketing authorization will likely be, priced at a significant premium over competitive generic products, also known as “home-brew” or “compounded” non-cGMP products, which may make it difficult for us to achieve our business strategy of using our products in combination with existing products or replacing existing products with our products, particularly if clinical differentiation or innovation contribution is more limited compared to currently available products.</w:t>
      </w:r>
    </w:p>
    <w:p>
      <w:pPr>
        <w:spacing w:after="0" w:line="18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Further, our commercial opportunity could be reduced or eliminated if our competitors develop and commercialize products that are or are perceived to be more effective, safer, more tolerable, more convenient and/or less costly than any of our currently approved products or product candidates or that would render our products obsolete or non-competitive. Our competitors may also obtain regulatory approval from the FDA or other regulatory authorities for their products more rapidly than we may obtain approval for ours, which could result in our competitors establishing a stronger market position before we are able to enter the market or preventing us from entering into a particular indication at all.</w:t>
      </w:r>
    </w:p>
    <w:p>
      <w:pPr>
        <w:spacing w:after="0" w:line="18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engaging clinical trial sites and enrolling patients in clinical trials, as well as in acquiring technologies complementary to, or that may be necessary for, our programs.</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we are not able to compete effectively against current or potential competitors, our business may be materially harmed and our financial condition and results of operations will be adversely affected.</w:t>
      </w:r>
    </w:p>
    <w:p>
      <w:pPr>
        <w:sectPr>
          <w:pgSz w:w="11900" w:h="16838" w:orient="portrait"/>
          <w:cols w:equalWidth="0" w:num="1">
            <w:col w:w="11240"/>
          </w:cols>
          <w:pgMar w:left="320" w:top="115"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fail to achieve the degree of market acceptance by physicians, patients, third-party payors and others in the medical community necessary for commercial success, of any products for which we obtain regulatory approval, including Illuccix, in which case we may not generate significant revenues or remain profitable.</w:t>
      </w:r>
    </w:p>
    <w:p>
      <w:pPr>
        <w:spacing w:after="0" w:line="17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may fail to gain sufficient market acceptance by physicians, patients, third-party payors and others in the medical community necessary for commercial success of any products for which we obtain regulatory approval, including Illuccix. Oncologists may be reluctant to switch their patients from existing therapies even when new and potentially more effective or convenient treatments enter the market. Further, patients often acclimate to the therapy that they are currently taking and do not want to switch unless their oncologists recommend switching products or they are required to switch therapies due to lack of coverage and reimbursement for existing therapies.</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Efforts to drive adoption within the medical community and third-party payors based on the benefits of our products and product candidates require significant resources and may not be successful. The success of Illuccix and our current or future product candidates, whether alone or in collaboration with third parties, including achieving and maintaining an adequate level of market adoption, depends on several factors, including:</w:t>
      </w:r>
    </w:p>
    <w:p>
      <w:pPr>
        <w:spacing w:after="0" w:line="176" w:lineRule="exact"/>
        <w:rPr>
          <w:sz w:val="20"/>
          <w:szCs w:val="20"/>
          <w:color w:val="auto"/>
        </w:rPr>
      </w:pPr>
    </w:p>
    <w:p>
      <w:pPr>
        <w:ind w:left="340" w:right="180" w:hanging="238"/>
        <w:spacing w:after="0" w:line="261" w:lineRule="auto"/>
        <w:tabs>
          <w:tab w:leader="none" w:pos="340" w:val="left"/>
        </w:tabs>
        <w:numPr>
          <w:ilvl w:val="0"/>
          <w:numId w:val="3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ability to successfully launch and achieve broad adoption of Illuccix or any other product for which we obtain approval, or any future indications for which Illuccix may be approved;</w:t>
      </w:r>
    </w:p>
    <w:p>
      <w:pPr>
        <w:ind w:left="340" w:right="220" w:hanging="238"/>
        <w:spacing w:after="0" w:line="250" w:lineRule="auto"/>
        <w:tabs>
          <w:tab w:leader="none" w:pos="340" w:val="left"/>
        </w:tabs>
        <w:numPr>
          <w:ilvl w:val="0"/>
          <w:numId w:val="3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competitive landscape for Illuccix and our product candidates, including the timing of new competing products entering the market and the level and speed at which these products achieve market acceptance;</w:t>
      </w:r>
    </w:p>
    <w:p>
      <w:pPr>
        <w:ind w:left="340" w:right="420" w:hanging="238"/>
        <w:spacing w:after="0" w:line="250" w:lineRule="auto"/>
        <w:tabs>
          <w:tab w:leader="none" w:pos="340" w:val="left"/>
        </w:tabs>
        <w:numPr>
          <w:ilvl w:val="0"/>
          <w:numId w:val="3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actual or perceived advantages or disadvantages of Illuccix or any product candidates for which we obtain approval as compared to alternative treatments, including their respective safety, tolerability and efficacy profiles, the potential convenience and ease of administration, access or cost effectiveness;</w:t>
      </w:r>
    </w:p>
    <w:p>
      <w:pPr>
        <w:spacing w:after="0" w:line="1"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effectiveness of our sales, marketing, manufacturing and distribution strategies and operations;</w:t>
      </w:r>
    </w:p>
    <w:p>
      <w:pPr>
        <w:spacing w:after="0" w:line="9" w:lineRule="exact"/>
        <w:rPr>
          <w:rFonts w:ascii="Times New Roman" w:cs="Times New Roman" w:eastAsia="Times New Roman" w:hAnsi="Times New Roman"/>
          <w:sz w:val="18"/>
          <w:szCs w:val="18"/>
          <w:color w:val="0A2E94"/>
        </w:rPr>
      </w:pPr>
    </w:p>
    <w:p>
      <w:pPr>
        <w:ind w:left="340" w:right="820" w:hanging="238"/>
        <w:spacing w:after="0" w:line="250" w:lineRule="auto"/>
        <w:tabs>
          <w:tab w:leader="none" w:pos="340" w:val="left"/>
        </w:tabs>
        <w:numPr>
          <w:ilvl w:val="0"/>
          <w:numId w:val="3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consistency of any new data we collect and analyses we conduct with prior results; whether they support a favorable safety, efficacy and effectiveness profile of Illuccix; and any potential impact on our FDA or any foreign regulatory approvals and/or labeling for Illuccix;</w:t>
      </w:r>
    </w:p>
    <w:p>
      <w:pPr>
        <w:ind w:left="340" w:right="20" w:hanging="238"/>
        <w:spacing w:after="0" w:line="250" w:lineRule="auto"/>
        <w:tabs>
          <w:tab w:leader="none" w:pos="340" w:val="left"/>
        </w:tabs>
        <w:numPr>
          <w:ilvl w:val="0"/>
          <w:numId w:val="3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ability to comply with the FDA’s and comparable foreign regulatory authorities’ post-marketing requirements and commitments, including through successfully conducting, on a timely basis, additional studies that confirm clinical efficacy, effectiveness and safety of Illuccix (or any product candidates for which we obtain approval and are required to conduct such studies) and acceptance of the same by the FDA or similar foreign regulatory authorities;</w:t>
      </w:r>
    </w:p>
    <w:p>
      <w:pPr>
        <w:spacing w:after="0" w:line="1" w:lineRule="exact"/>
        <w:rPr>
          <w:rFonts w:ascii="Times New Roman" w:cs="Times New Roman" w:eastAsia="Times New Roman" w:hAnsi="Times New Roman"/>
          <w:sz w:val="18"/>
          <w:szCs w:val="18"/>
          <w:color w:val="0A2E94"/>
        </w:rPr>
      </w:pPr>
    </w:p>
    <w:p>
      <w:pPr>
        <w:ind w:left="340" w:right="500" w:hanging="238"/>
        <w:spacing w:after="0" w:line="250" w:lineRule="auto"/>
        <w:tabs>
          <w:tab w:leader="none" w:pos="340" w:val="left"/>
        </w:tabs>
        <w:numPr>
          <w:ilvl w:val="0"/>
          <w:numId w:val="3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acceptance of current indications of Illuccix and future indications of Illuccix and other product candidates, if approved, by patients, the medical community and third-party payors;</w:t>
      </w:r>
    </w:p>
    <w:p>
      <w:pPr>
        <w:ind w:left="340" w:right="360" w:hanging="238"/>
        <w:spacing w:after="0" w:line="250" w:lineRule="auto"/>
        <w:tabs>
          <w:tab w:leader="none" w:pos="340" w:val="left"/>
        </w:tabs>
        <w:numPr>
          <w:ilvl w:val="0"/>
          <w:numId w:val="3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obtaining and maintaining coverage, adequate pricing and reimbursement by third-party payors, including government payors, for Illuccix and our product candidates, if approved;</w:t>
      </w:r>
    </w:p>
    <w:p>
      <w:pPr>
        <w:ind w:left="340" w:hanging="238"/>
        <w:spacing w:after="0"/>
        <w:tabs>
          <w:tab w:leader="none" w:pos="340" w:val="left"/>
        </w:tabs>
        <w:numPr>
          <w:ilvl w:val="0"/>
          <w:numId w:val="3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willingness of patients to pay out-of-pocket in the absence of third-party coverage or as co-pay amounts under third-party coverage;</w:t>
      </w:r>
    </w:p>
    <w:p>
      <w:pPr>
        <w:spacing w:after="0" w:line="9" w:lineRule="exact"/>
        <w:rPr>
          <w:rFonts w:ascii="Times New Roman" w:cs="Times New Roman" w:eastAsia="Times New Roman" w:hAnsi="Times New Roman"/>
          <w:sz w:val="18"/>
          <w:szCs w:val="18"/>
          <w:color w:val="0A2E94"/>
        </w:rPr>
      </w:pPr>
    </w:p>
    <w:p>
      <w:pPr>
        <w:ind w:left="340" w:right="100" w:hanging="238"/>
        <w:spacing w:after="0" w:line="250" w:lineRule="auto"/>
        <w:tabs>
          <w:tab w:leader="none" w:pos="340" w:val="left"/>
        </w:tabs>
        <w:numPr>
          <w:ilvl w:val="0"/>
          <w:numId w:val="3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ability to enforce intellectual property rights in and to our products to prohibit a third party from marketing a competing product and our ability to avoid third-party patent interference or intellectual property infringement claims;</w:t>
      </w:r>
    </w:p>
    <w:p>
      <w:pPr>
        <w:ind w:left="340" w:hanging="238"/>
        <w:spacing w:after="0"/>
        <w:tabs>
          <w:tab w:leader="none" w:pos="340" w:val="left"/>
        </w:tabs>
        <w:numPr>
          <w:ilvl w:val="0"/>
          <w:numId w:val="3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current and future restrictions or limitations on our approved or future indications and patient populations or other adverse regulatory actions;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performance of our manufacturers, license partners, distributors, providers and other business partners, over which we have limited control;</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any significant misestimations of the size of the market and market potential for any of Illuccix or our product candidates;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establishing and maintaining commercial manufacturing capabilities or making arrangements with third-party manufacturers;</w:t>
      </w:r>
    </w:p>
    <w:p>
      <w:pPr>
        <w:spacing w:after="0" w:line="9" w:lineRule="exact"/>
        <w:rPr>
          <w:rFonts w:ascii="Times New Roman" w:cs="Times New Roman" w:eastAsia="Times New Roman" w:hAnsi="Times New Roman"/>
          <w:sz w:val="18"/>
          <w:szCs w:val="18"/>
          <w:color w:val="0A2E94"/>
        </w:rPr>
      </w:pPr>
    </w:p>
    <w:p>
      <w:pPr>
        <w:ind w:left="340" w:right="80" w:hanging="238"/>
        <w:spacing w:after="0" w:line="250" w:lineRule="auto"/>
        <w:tabs>
          <w:tab w:leader="none" w:pos="340" w:val="left"/>
        </w:tabs>
        <w:numPr>
          <w:ilvl w:val="0"/>
          <w:numId w:val="3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willingness of the target patient population to try new therapies and of physicians to prescribe these therapies, based, in part, on their perception of our clinical trial data and/or the actual or perceived safety, tolerability and effectiveness profile;</w:t>
      </w:r>
    </w:p>
    <w:p>
      <w:pPr>
        <w:ind w:left="340" w:right="520" w:hanging="238"/>
        <w:spacing w:after="0" w:line="250" w:lineRule="auto"/>
        <w:tabs>
          <w:tab w:leader="none" w:pos="340" w:val="left"/>
        </w:tabs>
        <w:numPr>
          <w:ilvl w:val="0"/>
          <w:numId w:val="3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maintaining an acceptable safety and tolerability profile of Illuccix or any of our product candidates for which we obtain approval, including the prevalence and severity of any side effects;</w:t>
      </w:r>
    </w:p>
    <w:p>
      <w:pPr>
        <w:ind w:left="340" w:hanging="238"/>
        <w:spacing w:after="0"/>
        <w:tabs>
          <w:tab w:leader="none" w:pos="340" w:val="left"/>
        </w:tabs>
        <w:numPr>
          <w:ilvl w:val="0"/>
          <w:numId w:val="3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ability to offer Illuccix or any product candidates for which we obtain approval for sale at competitive prices;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3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adverse publicity about our products or favorable publicity about competitive products; and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right="140" w:hanging="238"/>
        <w:spacing w:after="0" w:line="266" w:lineRule="auto"/>
        <w:tabs>
          <w:tab w:leader="none" w:pos="340" w:val="left"/>
        </w:tabs>
        <w:numPr>
          <w:ilvl w:val="0"/>
          <w:numId w:val="3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ability to maintain compliance with existing and new health care laws and regulations, including government pricing, price reporting and other disclosure requirements related to such laws and regulations, and the potential impact of such laws and regulations on physician prescribing practices and payor coverage.</w:t>
      </w:r>
    </w:p>
    <w:p>
      <w:pPr>
        <w:spacing w:after="0" w:line="17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Illuccix or our product candidates, if approved, which would materially harm our business.</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or expand our sales, marketing and distribution capabilities, we may not be successful in commercializing Illuccix or any of our product candidates, if approved.</w:t>
      </w:r>
    </w:p>
    <w:p>
      <w:pPr>
        <w:spacing w:after="0" w:line="15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have built a commercial infrastructure in Australia, New Zealand, the United States, Canada and Europe for Illuccix. Prior to building this infrastructure, we did not previously have any experience in the sales, marketing or distribution of pharmaceutical products. If any of our product candidates are approved, we may need to evolve our sales, marketing and distribution capabilities and we may not be able to do so successfully or on a timely basis. In the future, we may choose to expand our sales, marketing and distribution infrastructure to market or co-promote one or more of our product candidates, if and when they are approved, or enter into collaborations with respect to the sale, marketing and distribution of our product candidates. We are working with existing and may in the future work with additional partners to develop the commercial infrastructure to support the sale of Illuccix outside of the United States.</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There are risks involved with establishing and maintaining our own sales, marketing and distribution capabilities. For example, recruiting and training a sales force is expensive and time-consuming and could delay any commercial launch of a product candidate or negatively impact ongoing commercialization efforts for our approved products.</w:t>
      </w:r>
    </w:p>
    <w:p>
      <w:pPr>
        <w:spacing w:after="0" w:line="17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Further, we may underestimate the size of the sales force required for a successful product launch and we may need to expand our sales force earlier and at a higher cost than we anticipated. If the commercial launch of any of our product candidates is delayed or does not occur for any reason, including if we do not receive regulatory approval in the timeframe we expect, we may have prematurely or unnecessarily incurred commercialization expenses. This may be costly, and our investment would be lost if we cannot retain or reposition our sales and marketing personnel.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successfully commercialize Illuccix or any of our product candidates, if approved, on our own include:</w:t>
      </w:r>
    </w:p>
    <w:p>
      <w:pPr>
        <w:spacing w:after="0" w:line="225" w:lineRule="exact"/>
        <w:rPr>
          <w:sz w:val="20"/>
          <w:szCs w:val="20"/>
          <w:color w:val="auto"/>
        </w:rPr>
      </w:pPr>
    </w:p>
    <w:p>
      <w:pPr>
        <w:ind w:left="340" w:hanging="238"/>
        <w:spacing w:after="0"/>
        <w:tabs>
          <w:tab w:leader="none" w:pos="340" w:val="left"/>
        </w:tabs>
        <w:numPr>
          <w:ilvl w:val="0"/>
          <w:numId w:val="4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inability to recruit, train and retain adequate numbers of effective sales, market access, market analytics, operations and marketing personnel;</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current or future products;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lack of complementary products, which may put us at a competitive disadvantage relative to companies with more extensive product lines;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unforeseen costs and expenses associated with creating an independent sales, marketing and distribution organization;</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inability to obtain sufficient coverage and reimbursement from third-party payors and governmental agencies;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ability to supply, manufacture and deliver sufficient inventory of our products for commercial sale on a timely basis; and</w:t>
      </w:r>
    </w:p>
    <w:p>
      <w:pPr>
        <w:spacing w:after="0" w:line="9" w:lineRule="exact"/>
        <w:rPr>
          <w:rFonts w:ascii="Times New Roman" w:cs="Times New Roman" w:eastAsia="Times New Roman" w:hAnsi="Times New Roman"/>
          <w:sz w:val="18"/>
          <w:szCs w:val="18"/>
          <w:color w:val="0A2E94"/>
        </w:rPr>
      </w:pPr>
    </w:p>
    <w:p>
      <w:pPr>
        <w:ind w:left="340" w:hanging="238"/>
        <w:spacing w:after="0" w:line="260" w:lineRule="auto"/>
        <w:tabs>
          <w:tab w:leader="none" w:pos="340" w:val="left"/>
        </w:tabs>
        <w:numPr>
          <w:ilvl w:val="0"/>
          <w:numId w:val="4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existing or new competitors taking share from Illuccix or any other product candidate for which we obtain approval in the future, or preventing Illuccix or any such product from gaining share in its approved indications.</w:t>
      </w:r>
    </w:p>
    <w:p>
      <w:pPr>
        <w:spacing w:after="0" w:line="17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Illuccix and our product candidates, if approved, will depend upon public perception of radiopharmaceuticals and the degree of their market acceptance by physicians, key opinion leaders, patients, healthcare payors and others in the medical community.</w:t>
      </w:r>
    </w:p>
    <w:p>
      <w:pPr>
        <w:spacing w:after="0" w:line="15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Adverse events in clinical trials of our product candidates, or in clinical trials or other studies conducted by others involving similar products, which may include the same radioisotopes as Illuccix and/or our product candidates, and the resulting negative publicity, as well as any other adverse events in the field of radiopharmaceuticals that may occur in the future, could result in a decrease in demand for Illuccix or any future product candidates that we may develop. If public perception is influenced by claims that radiopharmaceuticals or specific therapies within radiopharmaceuticals are unsafe, Illuccix or any product candidates for which we obtain regulatory approval may not be accepted by the general public or the medical community.</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particular, the commercial success of Illuccix and our product candidates, if approved, will depend upon, among other things, these products gaining and maintaining acceptance by physicians, key opinion leaders, patients, third-party payors, and other members of the medical community as efficacious and cost-effective alternatives to competing products and treatments. If Illuccix or any of our product candidates, once approved, do not achieve and maintain an adequate level of acceptance, we may not generate material sales of that product or be able to successfully commercialize it. The degree of market acceptance of Illuccix or our product candidates, if approved, will depend on a number of factors, including:</w:t>
      </w:r>
    </w:p>
    <w:p>
      <w:pPr>
        <w:spacing w:after="0" w:line="183" w:lineRule="exact"/>
        <w:rPr>
          <w:sz w:val="20"/>
          <w:szCs w:val="20"/>
          <w:color w:val="auto"/>
        </w:rPr>
      </w:pPr>
    </w:p>
    <w:p>
      <w:pPr>
        <w:ind w:left="340" w:hanging="238"/>
        <w:spacing w:after="0"/>
        <w:tabs>
          <w:tab w:leader="none" w:pos="340" w:val="left"/>
        </w:tabs>
        <w:numPr>
          <w:ilvl w:val="0"/>
          <w:numId w:val="4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ability to provide acceptable evidence of safety and efficacy;</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prevalence and severity of any side effects in general, and differentiation relative to other treatments;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limitations or warnings contained in the labeling approved for our product candidates by the FDA;</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size of the target patient population;</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advertising concerning our products or competing products and treatments;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availability, relative cost and relative efficacy of alternative and competing treatments;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ability to offer our products for sale at competitive prices;</w:t>
      </w:r>
    </w:p>
    <w:p>
      <w:pPr>
        <w:spacing w:after="0" w:line="9" w:lineRule="exact"/>
        <w:rPr>
          <w:rFonts w:ascii="Times New Roman" w:cs="Times New Roman" w:eastAsia="Times New Roman" w:hAnsi="Times New Roman"/>
          <w:sz w:val="18"/>
          <w:szCs w:val="18"/>
          <w:color w:val="0A2E94"/>
        </w:rPr>
      </w:pPr>
    </w:p>
    <w:p>
      <w:pPr>
        <w:ind w:left="340" w:right="620" w:hanging="238"/>
        <w:spacing w:after="0" w:line="250" w:lineRule="auto"/>
        <w:tabs>
          <w:tab w:leader="none" w:pos="340" w:val="left"/>
        </w:tabs>
        <w:numPr>
          <w:ilvl w:val="0"/>
          <w:numId w:val="4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relative convenience and ease of administration of our products and product candidates, which may require coordination amongst multiple physicians across disciplines for administration;</w:t>
      </w:r>
    </w:p>
    <w:p>
      <w:pPr>
        <w:ind w:left="340" w:right="300" w:hanging="238"/>
        <w:spacing w:after="0" w:line="250" w:lineRule="auto"/>
        <w:tabs>
          <w:tab w:leader="none" w:pos="340" w:val="left"/>
        </w:tabs>
        <w:numPr>
          <w:ilvl w:val="0"/>
          <w:numId w:val="4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willingness of the target patient population to try new products or product candidates and of physicians to prescribe these products and product candidates;</w:t>
      </w:r>
    </w:p>
    <w:p>
      <w:pPr>
        <w:ind w:left="340" w:hanging="238"/>
        <w:spacing w:after="0"/>
        <w:tabs>
          <w:tab w:leader="none" w:pos="340" w:val="left"/>
        </w:tabs>
        <w:numPr>
          <w:ilvl w:val="0"/>
          <w:numId w:val="4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strength of marketing and distribution support;</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publicity for our product candidates and competing products and treatments;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existence of distribution and/or use restrictions, such as through a REMS;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availability of third-party payor coverage and adequate reimbursement;</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timing of any marketing approval in relation to other product approvals;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support from patient advocacy groups;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any restrictions on the use of our products together with other medications;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sufficiency of coverage or reimbursement by third parties.</w:t>
      </w:r>
    </w:p>
    <w:p>
      <w:pPr>
        <w:spacing w:after="0" w:line="203"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Manufacturing of radiopharmaceuticals is complex and we may encounter difficulties in production. If we encounter such difficulties, our ability to provide supply of Illuccix or any of our product candidates for preclinical studies and clinical trials or for commercial purposes could be delayed or stopped.</w:t>
      </w:r>
    </w:p>
    <w:p>
      <w:pPr>
        <w:spacing w:after="0" w:line="175"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Manufacturing of radiopharmaceuticals is complex, highly regulated and must comply with cGMPs and similar foreign requirements. While we have manufacturing capabilities of our own, we also rely on third parties, such as contact manufacturing organizations, or CMOs, for the manufacture of Illuccix and our product candidates. If we are unable to obtain or maintain arrangements with CMOs, or to do so on commercially reasonable terms, we may not be able to commercialize Illuccix or develop our product candidates successfully. Our third-party manufacturing providers may not be able to provide adequate resources or capacity to meet our needs on a timely basis or at all, and may incorporate their own proprietary processes into our product candidate manufacturing processes. We have limited control and oversight of a third party’s proprietary process, and a third party may elect to modify its process without our consent or knowledge. These modifications could negatively impact our manufacturing, including product loss or failure that requires additional manufacturing runs or a change in manufacturer, either of which could significantly increase the cost of and significantly delay the manufacture of Illuccix or any of our product candidates.</w:t>
      </w:r>
    </w:p>
    <w:p>
      <w:pPr>
        <w:spacing w:after="0" w:line="18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Additionally, as we expect the market for Illuccix and PSMA-PET imaging to expand and our product candidates progress through preclinical studies and clinical trials towards potential approval and commercialization, it is possible that various aspects of manufacturing will be altered in an effort to optimize processes and results. Such changes may require new submissions to and approval from regulators, which may further delay the timeframes under which modified manufacturing processes can be used for Illuccix or any of our product candidates, and additional bridging studies or trials may be required. Any such delay could harm our business, financial condition, results of operations and prospects.</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We, our contract manufacturers, any future collaborators and their contract manufacturers could be subject to periodic unannounced inspections by the FDA or other comparable foreign regulatory authorities, to monitor and ensure compliance with cGMPs or similar foreign requirements. Despite our efforts to audit and verify regulatory compliance, we or one or more of our third-party manufacturing vendors may be found on regulatory inspection by the FDA or other comparable foreign regulatory authorities to be noncompliant with cGMPs or similar foreign regulations. This may result in shutdown of our facility or that of the third-party vendor or invalidation of product lots or processes, which could adversely affect our business, financial condition, results of operations and prospects. In some cases, a product recall may be warranted or required, which would materially affect our ability to supply and market our products and could be costly and result in reputational damage.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generate and/or obtain a sufficient supply of radioisotopes to support clinical development or manufacturing at commercial scale.</w:t>
      </w:r>
    </w:p>
    <w:p>
      <w:pPr>
        <w:spacing w:after="0" w:line="241" w:lineRule="exact"/>
        <w:rPr>
          <w:sz w:val="20"/>
          <w:szCs w:val="20"/>
          <w:color w:val="auto"/>
        </w:rPr>
      </w:pPr>
    </w:p>
    <w:p>
      <w:pPr>
        <w:ind w:right="440"/>
        <w:spacing w:after="0" w:line="206" w:lineRule="auto"/>
        <w:rPr>
          <w:sz w:val="20"/>
          <w:szCs w:val="20"/>
          <w:color w:val="auto"/>
        </w:rPr>
      </w:pPr>
      <w:r>
        <w:rPr>
          <w:rFonts w:ascii="Times New Roman" w:cs="Times New Roman" w:eastAsia="Times New Roman" w:hAnsi="Times New Roman"/>
          <w:sz w:val="18"/>
          <w:szCs w:val="18"/>
          <w:color w:val="auto"/>
        </w:rPr>
        <w:t xml:space="preserve">As a radiopharmaceutical company, Illuccix and our product candidates are prepared for patient administration using radioisotopes. Gallium-68, or </w:t>
      </w:r>
      <w:r>
        <w:rPr>
          <w:rFonts w:ascii="Times New Roman" w:cs="Times New Roman" w:eastAsia="Times New Roman" w:hAnsi="Times New Roman"/>
          <w:sz w:val="29"/>
          <w:szCs w:val="29"/>
          <w:color w:val="auto"/>
          <w:vertAlign w:val="superscript"/>
        </w:rPr>
        <w:t>68</w:t>
      </w:r>
      <w:r>
        <w:rPr>
          <w:rFonts w:ascii="Times New Roman" w:cs="Times New Roman" w:eastAsia="Times New Roman" w:hAnsi="Times New Roman"/>
          <w:sz w:val="18"/>
          <w:szCs w:val="18"/>
          <w:color w:val="auto"/>
        </w:rPr>
        <w:t xml:space="preserve">Ga, is a necessary component isotope for radiopharmacies to radiolabel Illuccix for patient administration and is sourced by a radiopharmacy directly. Other important isotopes applicable to our current pipeline of diagnostic and therapeutic product candidates include zirconium-89 or </w:t>
      </w:r>
      <w:r>
        <w:rPr>
          <w:rFonts w:ascii="Times New Roman" w:cs="Times New Roman" w:eastAsia="Times New Roman" w:hAnsi="Times New Roman"/>
          <w:sz w:val="29"/>
          <w:szCs w:val="29"/>
          <w:color w:val="auto"/>
          <w:vertAlign w:val="superscript"/>
        </w:rPr>
        <w:t>89</w:t>
      </w:r>
      <w:r>
        <w:rPr>
          <w:rFonts w:ascii="Times New Roman" w:cs="Times New Roman" w:eastAsia="Times New Roman" w:hAnsi="Times New Roman"/>
          <w:sz w:val="18"/>
          <w:szCs w:val="18"/>
          <w:color w:val="auto"/>
        </w:rPr>
        <w:t xml:space="preserve">Zr, lutetium-177 or </w:t>
      </w:r>
      <w:r>
        <w:rPr>
          <w:rFonts w:ascii="Times New Roman" w:cs="Times New Roman" w:eastAsia="Times New Roman" w:hAnsi="Times New Roman"/>
          <w:sz w:val="29"/>
          <w:szCs w:val="29"/>
          <w:color w:val="auto"/>
          <w:vertAlign w:val="superscript"/>
        </w:rPr>
        <w:t>177</w:t>
      </w:r>
      <w:r>
        <w:rPr>
          <w:rFonts w:ascii="Times New Roman" w:cs="Times New Roman" w:eastAsia="Times New Roman" w:hAnsi="Times New Roman"/>
          <w:sz w:val="18"/>
          <w:szCs w:val="18"/>
          <w:color w:val="auto"/>
        </w:rPr>
        <w:t xml:space="preserve">Lu, yttrium-90, or </w:t>
      </w:r>
      <w:r>
        <w:rPr>
          <w:rFonts w:ascii="Times New Roman" w:cs="Times New Roman" w:eastAsia="Times New Roman" w:hAnsi="Times New Roman"/>
          <w:sz w:val="29"/>
          <w:szCs w:val="29"/>
          <w:color w:val="auto"/>
          <w:vertAlign w:val="superscript"/>
        </w:rPr>
        <w:t>90</w:t>
      </w:r>
      <w:r>
        <w:rPr>
          <w:rFonts w:ascii="Times New Roman" w:cs="Times New Roman" w:eastAsia="Times New Roman" w:hAnsi="Times New Roman"/>
          <w:sz w:val="18"/>
          <w:szCs w:val="18"/>
          <w:color w:val="auto"/>
        </w:rPr>
        <w:t xml:space="preserve">Y, fluorine-18 or </w:t>
      </w: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 xml:space="preserve">F, iodine-131 or </w:t>
      </w:r>
      <w:r>
        <w:rPr>
          <w:rFonts w:ascii="Times New Roman" w:cs="Times New Roman" w:eastAsia="Times New Roman" w:hAnsi="Times New Roman"/>
          <w:sz w:val="29"/>
          <w:szCs w:val="29"/>
          <w:color w:val="auto"/>
          <w:vertAlign w:val="superscript"/>
        </w:rPr>
        <w:t>131</w:t>
      </w:r>
      <w:r>
        <w:rPr>
          <w:rFonts w:ascii="Times New Roman" w:cs="Times New Roman" w:eastAsia="Times New Roman" w:hAnsi="Times New Roman"/>
          <w:sz w:val="18"/>
          <w:szCs w:val="18"/>
          <w:color w:val="auto"/>
        </w:rPr>
        <w:t xml:space="preserve">I, technetium-99m or </w:t>
      </w:r>
      <w:r>
        <w:rPr>
          <w:rFonts w:ascii="Times New Roman" w:cs="Times New Roman" w:eastAsia="Times New Roman" w:hAnsi="Times New Roman"/>
          <w:sz w:val="29"/>
          <w:szCs w:val="29"/>
          <w:color w:val="auto"/>
          <w:vertAlign w:val="superscript"/>
        </w:rPr>
        <w:t>99m</w:t>
      </w:r>
      <w:r>
        <w:rPr>
          <w:rFonts w:ascii="Times New Roman" w:cs="Times New Roman" w:eastAsia="Times New Roman" w:hAnsi="Times New Roman"/>
          <w:sz w:val="18"/>
          <w:szCs w:val="18"/>
          <w:color w:val="auto"/>
        </w:rPr>
        <w:t xml:space="preserve">Tc, actinium-225 or </w:t>
      </w:r>
      <w:r>
        <w:rPr>
          <w:rFonts w:ascii="Times New Roman" w:cs="Times New Roman" w:eastAsia="Times New Roman" w:hAnsi="Times New Roman"/>
          <w:sz w:val="29"/>
          <w:szCs w:val="29"/>
          <w:color w:val="auto"/>
          <w:vertAlign w:val="superscript"/>
        </w:rPr>
        <w:t>225</w:t>
      </w:r>
      <w:r>
        <w:rPr>
          <w:rFonts w:ascii="Times New Roman" w:cs="Times New Roman" w:eastAsia="Times New Roman" w:hAnsi="Times New Roman"/>
          <w:sz w:val="18"/>
          <w:szCs w:val="18"/>
          <w:color w:val="auto"/>
        </w:rPr>
        <w:t xml:space="preserve">Ac, astatine-211 or </w:t>
      </w:r>
      <w:r>
        <w:rPr>
          <w:rFonts w:ascii="Times New Roman" w:cs="Times New Roman" w:eastAsia="Times New Roman" w:hAnsi="Times New Roman"/>
          <w:sz w:val="29"/>
          <w:szCs w:val="29"/>
          <w:color w:val="auto"/>
          <w:vertAlign w:val="superscript"/>
        </w:rPr>
        <w:t>211</w:t>
      </w:r>
      <w:r>
        <w:rPr>
          <w:rFonts w:ascii="Times New Roman" w:cs="Times New Roman" w:eastAsia="Times New Roman" w:hAnsi="Times New Roman"/>
          <w:sz w:val="18"/>
          <w:szCs w:val="18"/>
          <w:color w:val="auto"/>
        </w:rPr>
        <w:t xml:space="preserve">At, and Samarium-153, or </w:t>
      </w:r>
      <w:r>
        <w:rPr>
          <w:rFonts w:ascii="Times New Roman" w:cs="Times New Roman" w:eastAsia="Times New Roman" w:hAnsi="Times New Roman"/>
          <w:sz w:val="29"/>
          <w:szCs w:val="29"/>
          <w:color w:val="auto"/>
          <w:vertAlign w:val="superscript"/>
        </w:rPr>
        <w:t>153</w:t>
      </w:r>
      <w:r>
        <w:rPr>
          <w:rFonts w:ascii="Times New Roman" w:cs="Times New Roman" w:eastAsia="Times New Roman" w:hAnsi="Times New Roman"/>
          <w:sz w:val="18"/>
          <w:szCs w:val="18"/>
          <w:color w:val="auto"/>
        </w:rPr>
        <w:t>Sm. We procure supply of these isotopes from suppliers based predominately in Canada or Europe. Global isotope supply chains, including obtaining precursor or raw materials necessary to produce many of the synthetic radioisotopes used in nuclear medicine, are commonly sourced from countries such as Russia, Brazil, South Africa and Turkey that may, from time-to-time, be subject to instability, unrest, protests, intergovernmental conflicts and various international trade or monetary sanctions. Where isotopes or raw materials are procured under various medical or humanitarian exemptions, including countries that may, from time-to-time, be subject to instability, unrest, protests, intergovernmental conflicts and various international trade or monetary sanctions, those exemptions may be repealed or altered in a way that is detrimental to our ability to operate our business.</w:t>
      </w:r>
    </w:p>
    <w:p>
      <w:pPr>
        <w:spacing w:after="0" w:line="203"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We aim to maintain multiple supply agreements with isotope suppliers and stockpiles to ensure adequate quantities to meet our current pipeline development needs. However, there is a limited supply of some radioisotopes due to the limited supply of starting radioactive raw materials to create the radioisotope or the complexity required to manufacture isotopes to the required quality and purity standards for effective radiolabeling. We aim to maintain supply relationships with all major current suppliers and for certain isotopes there are no or limited alternatives to our current suppliers.</w:t>
      </w:r>
    </w:p>
    <w:p>
      <w:pPr>
        <w:spacing w:after="0" w:line="18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While we are making investments to secure additional access to and capabilities for manufacturing isotopes, we may encounter supply shortages which could affect our business operations and results of operations. There can be no assurance that our suppliers will renew existing contracts on acceptable terms, or even at all. Additionally, failure to acquire enough medical-grade isotopes for specific product candidates would make it impossible to effectively complete clinical trials, especially as we scale up for later-stage clinical trials, and to commercialize any product candidates that we may develop, which would materially harm our business.</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Isotope suppliers may also have limited production capacity to meet future commercial demand, and there is no guarantee that production will start in the time frame we expect. Even where a contract exists, we may have limited recourse if a supplier is unable to meet its obligations. Suppliers may also be unable to meet their obligations for any number of reasons. For example, the U.S. Department of Energy has reserved its ability to cancel private orders when the supply is instead needed for national defense, environmental safety, or in the event of any other sort of lack of supply capacity or for a number of other reasons that are outside of our control.</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500"/>
        <w:spacing w:after="0" w:line="252" w:lineRule="auto"/>
        <w:rPr>
          <w:sz w:val="20"/>
          <w:szCs w:val="20"/>
          <w:color w:val="auto"/>
        </w:rPr>
      </w:pPr>
      <w:r>
        <w:rPr>
          <w:rFonts w:ascii="Times New Roman" w:cs="Times New Roman" w:eastAsia="Times New Roman" w:hAnsi="Times New Roman"/>
          <w:sz w:val="18"/>
          <w:szCs w:val="18"/>
          <w:color w:val="auto"/>
        </w:rPr>
        <w:t>Radioisotopes or radioactive raw materials may only be available from a limited number of countries, including Russia, Brazil, Turkey or South Africa. Our isotope suppliers obtain the radioactive materials from source material countries in accordance with applicable laws and export regulations, usually under medical exemption, and then use the raw materials to manufacture the radioisotopes for onward clinical sale and commercial sale to third parties, including governments, hospitals and pharmaceutical companies. We and our suppliers are exposed to a number of environmental and geopolitical risks beyond radioactive raw material availability, including restrictions on trade of certain items with Russia, and other unforeseen geopolitical factors that limit our ability to access our supply of raw material. The ongoing war in Ukraine and subsequent economic sanctions imposed on Russia, including by the United States, may impact our ability to procure supply of necessary isotopes and may impact our product development timelines. For example, while our current suppliers are not currently designated on any export or sanctions-related restricted party lists maintained by the U.S. government, there is no guarantee our suppliers (or their third-party suppliers of raw materials) will not be designated on such lists in the future. In addition, our dependence on international radioisotope suppliers is increased in the near term because the U.S. Department of Energy restricts usage for certain isotopes for clinical development outside the United States, and therefore, we must rely on our suppliers for our international operations. To date, the ongoing war in Ukraine has not materially impacted the development of any of our product candidates, nor has it materially impacted the price at which we are able to purchase isotopes. Although we do not expect to encounter additional delays from our suppliers based on the ongoing war in the Ukraine, we may experience delays in the future, and any such delay could have an adverse material impact on our development plans and business. We expect to continue to monitor and adapt our development plans as necessary in response to environmental and geopolitical risks. Any difficulty that our suppliers have in procuring raw materials may also magnify the impact of other risks described in this annual report.</w:t>
      </w:r>
    </w:p>
    <w:p>
      <w:pPr>
        <w:spacing w:after="0" w:line="1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ability to conduct clinical trials to advance our product candidates is dependent on our ability to either self-generate and/or obtain these radioisotopes and other isotopes we may choose to utilize in the future. While we intend to scale-up our manufacturing facilities to achieve vertical integration and the ability to self-manufacture our final diagnostics and therapeutics products, we are dependent on third-party manufacturers and suppliers for many of our isotopes, and our suppliers will be dependent on third parties to supply the raw radioactive materials. These parties may not perform their contracted services or may breach or terminate their agreements with us. Our suppliers are subject to regulations and standards that are overseen by regulatory and government agencies, and we have no control over our suppliers’ compliance with these standards. Failure to comply with regulations and standards may result in their inability to supply an isotope that could result in delays in our clinical trials or commercialization, which could have a negative impact on our business.</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effectively commercialize Illuccix or any product candidates for which we obtain approval, the products may not receive coverage or may become subject to unfavorable pricing regulations, third-party reimbursement practices or healthcare reform initiatives, all of which would harm our business.</w:t>
      </w:r>
    </w:p>
    <w:p>
      <w:pPr>
        <w:spacing w:after="0" w:line="1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legislation and regulations that govern regulatory approvals, pricing, coverage and reimbursement for new imaging and therapy products vary widely from country to country. As a result, we might obtain regulatory approval for a product in a particular country, but then be subject to pricing or reimbursement regulations that delay the commercial launch of the product, possibly for lengthy time periods, and negatively impact the revenues we are able to generate from product sales in that country. In the United States and most other major markets internationally, approval and reimbursement decisions are not linked directly, but there is increasing scrutiny from the Congress, government or regulatory authorities, payors, patient organizations of the pricing or reimbursement of pharmaceutical products. Adverse pricing or reimbursement limitations may also hinder our ability to recoup our investment in one or more product candidates, even if our product candidates obtain regulatory approval.</w:t>
      </w:r>
    </w:p>
    <w:p>
      <w:pPr>
        <w:spacing w:after="0" w:line="189"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Our ability to successfully commercialize Illuccix and any other products that we may develop or acquire will depend, in part, on the extent to which satisfactory pricing, coverage and reimbursement for these products is available from government payors, private health insurers and other organizations. Government authorities and third-party payors, such as private health insurers and health maintenance organizations, decide which medications they will pay for and establish reimbursement levels. Obtaining and maintaining adequate coverage and reimbursement for Illuccix and any of our product candidates, if approved, may be difficult. Moreover, the process for determining whether a third-party payor will provide coverage for a product may be separate from the process for setting the price of a product or for establishing the reimbursement rate that such a payor will pay for the product. Further, one payor’s determination to provide coverage for a product does not assure that other payors will also provide coverage and reimbursement for our products. Even with payor coverage, patients may be unwilling or unable to pay the copay required and may choose not to take or use our products.</w:t>
      </w:r>
    </w:p>
    <w:p>
      <w:pPr>
        <w:spacing w:after="0" w:line="188"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7"/>
          <w:szCs w:val="17"/>
          <w:color w:val="auto"/>
        </w:rPr>
        <w:t>A primary trend in the healthcare industry in the United States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158"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Third-party payors may also seek, with respect to an approved product, additional clinical evidence that goes beyond the data required to obtain regulatory approval. They may require such evidence to demonstrate clinical benefits and value in specific patient populations or they may call for costly pharmaceutical studies to justify coverage and reimbursement or the level of reimbursement relative to other therapies before covering our products. Accordingly, we cannot be sure that reimbursement will be or will continue to be available for Illuccix and any product that we commercialize and, if reimbursement is available, we cannot be sure as to the level of reimbursement and whether it will be adequate. Coverage and reimbursement may impact the demand for or the price of Illuccix or any product candidate for which we obtain regulatory approval. If reimbursement is not available or is available only at limited levels, we may not be able to successfully commercialize Illuccix or any other approved products.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products, and coverage may be more limited than the indications for which the product is approved by the FDA or comparable foreign regulatory authorities. Moreover, eligibility for reimbursement does not imply that Illuccix or any other product candidate for which we obtain approval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Third-party payors in the United States often rely upon Medicare coverage policy and payment limitations in setting their own reimbursement policies. Our inability to promptly obtain coverage and profitable payment rates from both government-funded and private payors for any approved products that we develop could have a material adverse effect on our operating results, our ability to raise capital needed to commercialize our products and our overall financial condition.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divert our resources, cause us to incur substantial liabilities and limit commercialization of Illuccix or any other products that we may develop or acquire.</w:t>
      </w:r>
    </w:p>
    <w:p>
      <w:pPr>
        <w:spacing w:after="0" w:line="159"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our commercialization of Illuccix and the testing of our product candidates in human clinical trials as the administration of our products to humans may expose us to liability claims, whether or not our products are actually at fault for causing any harm or injury. As Illuccix is used over longer periods of time by a wider group of patients taking numerous other medicines or by patients with additional underlying conditions, the likelihood of adverse product reactions or unintended side effects, including death, may increase.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claims that our products or product candidates caused injuries, we will incur substantial liabilities or may be required to limit commercialization of our products. Regardless of merit or eventual outcome, liability claims may result in:</w:t>
      </w:r>
    </w:p>
    <w:p>
      <w:pPr>
        <w:spacing w:after="0" w:line="194" w:lineRule="exact"/>
        <w:rPr>
          <w:sz w:val="20"/>
          <w:szCs w:val="20"/>
          <w:color w:val="auto"/>
        </w:rPr>
      </w:pPr>
    </w:p>
    <w:p>
      <w:pPr>
        <w:ind w:left="340" w:hanging="238"/>
        <w:spacing w:after="0"/>
        <w:tabs>
          <w:tab w:leader="none" w:pos="340" w:val="left"/>
        </w:tabs>
        <w:numPr>
          <w:ilvl w:val="0"/>
          <w:numId w:val="4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decreased demand for Illuccix and any other products that we may develop or acquire;</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injury to our reputation and significant negative media attention;</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withdrawal of clinical trial participants;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initiation of investigations by regulators;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product recalls, withdrawals or labeling, marketing or promotional restrictions;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significant costs to defend the related litigation;</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substantial monetary awards to trial participants or patients;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loss of revenue;</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reduced resources of our management to pursue our business strategy;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inability to successfully commercialize Illuccix and any other products that we may develop or acquire.</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currently hold clinical trial liability insurance of up to A$20 million per occurrence in the aggregate and general product liability insurance coverage in the amount of A$20 million in the aggregate, but that coverage may not be adequate to cover any and all liabilities that we may incur. Insurance coverage is increasingly expensive. We may not be able to maintain insurance coverage at a reasonable cost or in an amount adequate to satisfy any liability that may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Matters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for our product candidates, the regulatory approval process is expensive, time-consuming and uncertain and we or they may not receive approvals for the commercialization of some or all of our or their product candidates in a timely manner, or at all.</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long-term success and ability to sustain and grow revenue depends on our ability to continue to successfully develop our product candidates and obtain regulatory approval to market our or their products both in and outside of the United States. In order to market and sell our products in the European Union and many other jurisdictions, we must obtain separate marketing approvals and comply with numerous and varying regulatory requirements. The FDA and comparable foreign regulatory authorities, whose laws and regulations may differ from country to country, impose substantial requirements on the development of product candidates to become eligible for marketing approval, have substantial discretion in the process, and may refuse to accept any application or may decide that the data are insufficient for approval and require additional preclinical studies, clinical trials or other studies and testing. The time required to obtain approval outside of the United States may differ substantially from that required to obtain FDA approval. For example, in many countries outside of the United States, it is required that the drug also be approved for reimbursement before the drug can be sold in that country.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the FDA and foreign regulatory authorities retain broad discretion in evaluating the results of our clinical trials and in determining whether the results demonstrate that any product candidate is safe and effective. If we are required to conduct additional clinical trials of Illuccix prior to approval of any additional investigational indications we are developing it for, or of any other product candidates prior to approval, we may need substantial additional funds, and there is no assurance that the results of any such additional clinical trials will be sufficient for approval.</w:t>
      </w:r>
    </w:p>
    <w:p>
      <w:pPr>
        <w:spacing w:after="0" w:line="180"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including manufacturing information, to regulatory authorities for each indication to establish the product candidate’s safety and efficacy.</w:t>
      </w:r>
    </w:p>
    <w:p>
      <w:pPr>
        <w:spacing w:after="0" w:line="18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In addition, changes in or the enactment of additional statutes, promulgation of regulations or issuance of guidance during preclinical or clinical development, or comparable changes in the regulatory review process for each submitted product application, may cause delays in the approval or rejection of an application. For example, in December 2022, with the passage of Food and Drug Omnibus Reform Act, or FDORA, Congress required sponsors to develop and submit a Diversity Action Plan, or DAP, for each Phase 3 clinical trial or any other “pivotal study” of a new drug or biological product. These plans are meant to encourage the enrollment of more diverse patient populations in late-stage clinical trials of FDA regulated products.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 On January 27, 2025, in response to an Executive Order issued by President Trump on January 21, 2025, on Diversity, Equity and Inclusion programs, the FDA removed this draft guidance from its website. This action raises questions about the applicability of statutory obligations to submit DAPs and the agency’s current thinking on best practices for clinical development.</w:t>
      </w:r>
    </w:p>
    <w:p>
      <w:pPr>
        <w:spacing w:after="0" w:line="19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Further, on January 31, 2022, the new Clinical Trials Regulation (EU) No 536/2014 became applicable in the European Union and replaced the prior Clinical Trials Directive 2001/20/EC. The new regulation aims at simplifying and streamlining the authorization, conduct and transparency of clinical trials in the European Union. Under the new coordinated procedure for the approval of clinical trials, the sponsor of a clinical trial to be conducted in more than one EU Member State will only be required to submit a single application for approval. The submission will be made through the Clinical Trials Information System, a new clinical trials portal overseen by the European Medicines Agency, or EMA, and available to clinical trial sponsors, competent authorities of the EU Member States and the public. We have not previously secured authorization to conduct clinical studies in the European Union pursuant to this new regulation and, accordingly, there is a risk that we may be delayed in commencing such studies.</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FDA or other regulatory authorities may determine that (i) our product candidates are not safe and effective, are only moderately effective or have undesirable or unintended side effects, toxicities or other characteristics that preclude our obtaining marketing approval or prevent or limit commercial use; (ii) the dose used in a clinical trial has not been optimized and require us to conduct additional dose optimization studies; or (iii) the comparator arm in a trial is no longer the appropriate comparator due to the evolution of the competitive landscape or subsequent data of the comparator product, even if the FDA or other regulatory authority had previously approved the trial design, and we may be required to amend the trial or we may not receive approval of the indication.</w:t>
      </w:r>
    </w:p>
    <w:p>
      <w:pPr>
        <w:spacing w:after="0" w:line="18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future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a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a comparable foreign regulatory authority, as the case may be, and may ultimately lead to the denial of marketing approval of one or more of our product candidates.</w:t>
      </w:r>
    </w:p>
    <w:p>
      <w:pPr>
        <w:spacing w:after="0" w:line="189"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Further, under the Pediatric Research Equity Act, or PREA, an NDA, BLA or supplement to an NDA or BLA for certain drugs and biological products must contain data to assess the safety and effectiveness of the drug or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European Union also requires sponsors to either conduct clinical trials in a pediatric population in accordance with a Pediatric Investigation Plan approved by the Pediatric Committee of the EMA, or to obtain a waiver or deferral from the conduct of these studies by this Committee. For any of our product candidates for which we are seeking regulatory approval in the United States or the European Union,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3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addition, we could be adversely affected by several significant administrative law cases decided by the U.S. Supreme Court in 2024. In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Enterprises v. Raimondo</w:t>
      </w:r>
      <w:r>
        <w:rPr>
          <w:rFonts w:ascii="Times New Roman" w:cs="Times New Roman" w:eastAsia="Times New Roman" w:hAnsi="Times New Roman"/>
          <w:sz w:val="18"/>
          <w:szCs w:val="18"/>
          <w:color w:val="auto"/>
        </w:rPr>
        <w:t>, for example, the court overruled</w:t>
      </w:r>
      <w:r>
        <w:rPr>
          <w:rFonts w:ascii="Times New Roman" w:cs="Times New Roman" w:eastAsia="Times New Roman" w:hAnsi="Times New Roman"/>
          <w:sz w:val="18"/>
          <w:szCs w:val="18"/>
          <w:i w:val="1"/>
          <w:iCs w:val="1"/>
          <w:color w:val="auto"/>
        </w:rPr>
        <w:t xml:space="preserve"> Chevron U.S.A., Inc. v. Natural Resources Defense Council, Inc</w:t>
      </w:r>
      <w:r>
        <w:rPr>
          <w:rFonts w:ascii="Times New Roman" w:cs="Times New Roman" w:eastAsia="Times New Roman" w:hAnsi="Times New Roman"/>
          <w:sz w:val="18"/>
          <w:szCs w:val="18"/>
          <w:color w:val="auto"/>
        </w:rPr>
        <w:t>., which for 40 years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federal courts to defer to permissible agency interpretations of statutes that are silent or ambiguous on a particular topic. The U.S. Supreme Court stripped federal agencies of this presumptive deference and held that courts must exercise their independent judgment when deciding whether an agency such as the FDA acted within its statutory authority under the Administrative Procedure Act, or the APA. Additionally, in </w:t>
      </w:r>
      <w:r>
        <w:rPr>
          <w:rFonts w:ascii="Times New Roman" w:cs="Times New Roman" w:eastAsia="Times New Roman" w:hAnsi="Times New Roman"/>
          <w:sz w:val="18"/>
          <w:szCs w:val="18"/>
          <w:i w:val="1"/>
          <w:iCs w:val="1"/>
          <w:color w:val="auto"/>
        </w:rPr>
        <w:t>Corner Post, Inc. v. Board of Governors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Federal Reserve System</w:t>
      </w:r>
      <w:r>
        <w:rPr>
          <w:rFonts w:ascii="Times New Roman" w:cs="Times New Roman" w:eastAsia="Times New Roman" w:hAnsi="Times New Roman"/>
          <w:sz w:val="18"/>
          <w:szCs w:val="18"/>
          <w:color w:val="auto"/>
        </w:rPr>
        <w:t>, the court held that actions to challenge a federal regulation under the APA can be initiated within six years of the date of injury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plaintiff, rather than the date the rule is finalized. The decision appears to give prospective plaintiffs a personal statute of limitations to challenge longstanding agency regulations. Another decision, </w:t>
      </w:r>
      <w:r>
        <w:rPr>
          <w:rFonts w:ascii="Times New Roman" w:cs="Times New Roman" w:eastAsia="Times New Roman" w:hAnsi="Times New Roman"/>
          <w:sz w:val="18"/>
          <w:szCs w:val="18"/>
          <w:i w:val="1"/>
          <w:iCs w:val="1"/>
          <w:color w:val="auto"/>
        </w:rPr>
        <w:t>Securities and Exchange Commission v. Jarkesy</w:t>
      </w:r>
      <w:r>
        <w:rPr>
          <w:rFonts w:ascii="Times New Roman" w:cs="Times New Roman" w:eastAsia="Times New Roman" w:hAnsi="Times New Roman"/>
          <w:sz w:val="18"/>
          <w:szCs w:val="18"/>
          <w:color w:val="auto"/>
        </w:rPr>
        <w:t>,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our ability to develop and market new drug products may be impacted by litigation challenging the FDA’s approval of another company’s drug product.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Supreme Court reversed that decision after unanimously finding that the plaintiffs (anti-abortion doctors and organizations) did not have standing to bring this legal action against the FDA. On October 11, 2024, the Attorneys General of three states (Missouri, Idaho and Kansas) filed an amended complaint in the district court in Texas challenging the FDA’s actions. On January 16, 2025, the district court agreed to allow these states to file an amended complaint and continue to pursue this challenge. Depending on the outcome of this litigation, our ability to develop new drug product candidates and to maintain approval of existing drug products could be delayed, undermined or subject to protracted litigation.</w:t>
      </w:r>
    </w:p>
    <w:p>
      <w:pPr>
        <w:spacing w:after="0" w:line="19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Finally, with the change in presidential administrations in 2025, there is substantial uncertainty as to how, if at all, the new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w:t>
      </w:r>
    </w:p>
    <w:p>
      <w:pPr>
        <w:spacing w:after="0" w:line="18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approval of our product candidates for commercial sale could also be delayed, limited or denied or we may be required to conduct additional studies for a number of reasons, including, but not limited to, the following:</w:t>
      </w:r>
    </w:p>
    <w:p>
      <w:pPr>
        <w:spacing w:after="0" w:line="162" w:lineRule="exact"/>
        <w:rPr>
          <w:sz w:val="20"/>
          <w:szCs w:val="20"/>
          <w:color w:val="auto"/>
        </w:rPr>
      </w:pPr>
    </w:p>
    <w:p>
      <w:pPr>
        <w:ind w:left="340" w:right="300" w:hanging="238"/>
        <w:spacing w:after="0" w:line="261" w:lineRule="auto"/>
        <w:tabs>
          <w:tab w:leader="none" w:pos="340" w:val="left"/>
        </w:tabs>
        <w:numPr>
          <w:ilvl w:val="0"/>
          <w:numId w:val="4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regulatory authorities may determine that our product candidates do not demonstrate safety and effectiveness in accordance with regulatory agency standards based on a number of considerations, including adverse events that are reported during clinical trials;</w:t>
      </w:r>
    </w:p>
    <w:p>
      <w:pPr>
        <w:ind w:left="340" w:right="560" w:hanging="238"/>
        <w:spacing w:after="0" w:line="250" w:lineRule="auto"/>
        <w:tabs>
          <w:tab w:leader="none" w:pos="340" w:val="left"/>
        </w:tabs>
        <w:numPr>
          <w:ilvl w:val="0"/>
          <w:numId w:val="4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regulatory authorities could analyze and/or interpret data from clinical trials and preclinical testing in different ways than we interpret them and determine that our data is insufficient for approval;</w:t>
      </w:r>
    </w:p>
    <w:p>
      <w:pPr>
        <w:ind w:left="340" w:hanging="238"/>
        <w:spacing w:after="0"/>
        <w:tabs>
          <w:tab w:leader="none" w:pos="340" w:val="left"/>
        </w:tabs>
        <w:numPr>
          <w:ilvl w:val="0"/>
          <w:numId w:val="4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regulatory authorities may require more information, including additional preclinical or clinical data or the conduct of new trials, to support approval;</w:t>
      </w:r>
    </w:p>
    <w:p>
      <w:pPr>
        <w:spacing w:after="0" w:line="9" w:lineRule="exact"/>
        <w:rPr>
          <w:rFonts w:ascii="Times New Roman" w:cs="Times New Roman" w:eastAsia="Times New Roman" w:hAnsi="Times New Roman"/>
          <w:sz w:val="18"/>
          <w:szCs w:val="18"/>
          <w:color w:val="0A2E94"/>
        </w:rPr>
      </w:pPr>
    </w:p>
    <w:p>
      <w:pPr>
        <w:ind w:left="340" w:right="120" w:hanging="238"/>
        <w:spacing w:after="0" w:line="250" w:lineRule="auto"/>
        <w:tabs>
          <w:tab w:leader="none" w:pos="340" w:val="left"/>
        </w:tabs>
        <w:numPr>
          <w:ilvl w:val="0"/>
          <w:numId w:val="4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regulatory authorities could determine that our manufacturing processes are not properly designed, are not conducted in accordance with federal or other laws or otherwise not properly managed, and we may be unable to obtain regulatory approval for a commercially viable manufacturing process for our product candidates in a timely manner, or at all;</w:t>
      </w:r>
    </w:p>
    <w:p>
      <w:pPr>
        <w:spacing w:after="0" w:line="1"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supply or quality of our product candidates for our clinical trials may be insufficient, inadequate or delayed;</w:t>
      </w:r>
    </w:p>
    <w:p>
      <w:pPr>
        <w:spacing w:after="0" w:line="9" w:lineRule="exact"/>
        <w:rPr>
          <w:rFonts w:ascii="Times New Roman" w:cs="Times New Roman" w:eastAsia="Times New Roman" w:hAnsi="Times New Roman"/>
          <w:sz w:val="18"/>
          <w:szCs w:val="18"/>
          <w:color w:val="0A2E94"/>
        </w:rPr>
      </w:pPr>
    </w:p>
    <w:p>
      <w:pPr>
        <w:ind w:left="340" w:right="280" w:hanging="238"/>
        <w:spacing w:after="0" w:line="250" w:lineRule="auto"/>
        <w:tabs>
          <w:tab w:leader="none" w:pos="340" w:val="left"/>
        </w:tabs>
        <w:numPr>
          <w:ilvl w:val="0"/>
          <w:numId w:val="4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size of the patient population required to establish the efficacy of our product candidates to the satisfaction of regulatory agencies may be larger than we or they anticipated;</w:t>
      </w:r>
    </w:p>
    <w:p>
      <w:pPr>
        <w:ind w:left="340" w:right="540" w:hanging="238"/>
        <w:spacing w:after="0" w:line="250" w:lineRule="auto"/>
        <w:tabs>
          <w:tab w:leader="none" w:pos="340" w:val="left"/>
        </w:tabs>
        <w:numPr>
          <w:ilvl w:val="0"/>
          <w:numId w:val="4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failure or the failure of clinical sites, and the records kept at the respective locations, including records containing clinical trial data, to be in compliance with the FDA’s GCP, requirements or comparable regulations outside of the United States;</w:t>
      </w:r>
    </w:p>
    <w:p>
      <w:pPr>
        <w:ind w:left="340" w:hanging="238"/>
        <w:spacing w:after="0"/>
        <w:tabs>
          <w:tab w:leader="none" w:pos="340" w:val="left"/>
        </w:tabs>
        <w:numPr>
          <w:ilvl w:val="0"/>
          <w:numId w:val="4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regulatory authorities may change their approval policies or adopt new regulations;</w:t>
      </w:r>
    </w:p>
    <w:p>
      <w:pPr>
        <w:spacing w:after="0" w:line="9" w:lineRule="exact"/>
        <w:rPr>
          <w:rFonts w:ascii="Times New Roman" w:cs="Times New Roman" w:eastAsia="Times New Roman" w:hAnsi="Times New Roman"/>
          <w:sz w:val="18"/>
          <w:szCs w:val="18"/>
          <w:color w:val="0A2E94"/>
        </w:rPr>
      </w:pPr>
    </w:p>
    <w:p>
      <w:pPr>
        <w:ind w:left="340" w:right="360" w:hanging="238"/>
        <w:spacing w:after="0" w:line="250" w:lineRule="auto"/>
        <w:tabs>
          <w:tab w:leader="none" w:pos="340" w:val="left"/>
        </w:tabs>
        <w:numPr>
          <w:ilvl w:val="0"/>
          <w:numId w:val="4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regulatory authorities may not be able to undertake reviews of our marketing applications, conduct applicable inspections or proceed through their approval processes in a timely manner;</w:t>
      </w:r>
    </w:p>
    <w:p>
      <w:pPr>
        <w:ind w:left="340" w:hanging="238"/>
        <w:spacing w:after="0"/>
        <w:tabs>
          <w:tab w:leader="none" w:pos="340" w:val="left"/>
        </w:tabs>
        <w:numPr>
          <w:ilvl w:val="0"/>
          <w:numId w:val="4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results of our earlier clinical trials may not be representative of our future, larger trials;</w:t>
      </w:r>
    </w:p>
    <w:p>
      <w:pPr>
        <w:spacing w:after="0" w:line="9" w:lineRule="exact"/>
        <w:rPr>
          <w:rFonts w:ascii="Times New Roman" w:cs="Times New Roman" w:eastAsia="Times New Roman" w:hAnsi="Times New Roman"/>
          <w:sz w:val="18"/>
          <w:szCs w:val="18"/>
          <w:color w:val="0A2E94"/>
        </w:rPr>
      </w:pPr>
    </w:p>
    <w:p>
      <w:pPr>
        <w:ind w:left="340" w:right="420" w:hanging="238"/>
        <w:spacing w:after="0" w:line="260" w:lineRule="auto"/>
        <w:tabs>
          <w:tab w:leader="none" w:pos="340" w:val="left"/>
        </w:tabs>
        <w:numPr>
          <w:ilvl w:val="0"/>
          <w:numId w:val="4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regulatory authorities may not agree with our regulatory approval strategies or components of our or their regulatory filings, such as the design or implementation of the relevant clinical trials; or</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hanging="238"/>
        <w:spacing w:after="0" w:line="282" w:lineRule="auto"/>
        <w:tabs>
          <w:tab w:leader="none" w:pos="340" w:val="left"/>
        </w:tabs>
        <w:numPr>
          <w:ilvl w:val="0"/>
          <w:numId w:val="4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 product may not be approved for the indications that we request or may be limited or subject to restrictions or post-approval commitments that render the approved drug not commercially viable.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Accordingly, we may not be able to submit applications for marketing approvals/authorizations and may not receive necessary approvals to commercialize our products in any market. Any failure, delay or setback in obtaining regulatory approval for our product candidates could materially adversely affect our ability to generate revenue from a particular product candidate, which could result in significant harm to our financial position and adversely impact the price of our ordinary shares and ADSs.</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medicines from being marketed in such jurisdictions and any of our medicines that are approved for marketing in such jurisdiction will be subject to risk associated with foreign operations.</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order to market and sell our medicines in the European Union and many other foreign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a product must be approved for reimbursement before the product can be approved for sale in that country. We or our collaborators may not obtain approvals from regulatory authorities outside the United States on a timely basis, if at all. Moreover, approval by the FDA does not ensure approval by regulatory authorities in other countries or jurisdictions, and approval by one regulatory authority outside the United States does not ensure approval by regulatory authorities in other countries or jurisdictions or by the FDA.</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Additionally, we could face heightened risks with respect to obtaining marketing authorization in the United Kingdom as a result of the withdrawal of the United Kingdom from the European Union, commonly referred to as Brexit. The United Kingdom is no longer part of the European Single Market and EU Customs Union. As of January 1, 2025, the Medicines and Healthcare Products Regulatory Agency, or MHRA, is responsible for approving all medicinal products destined for the United Kingdom market (i.e., Great Britain and Northern Ireland). At the same time, a new international recognition procedure, or IRP, will apply, which intends to facilitate approval of pharmaceutical products in the United Kingdom. The IRP is open to applicants that have already received an authorization for the same product from one of the MHRA’s specified Reference Regulators, or RRs. The RRs notably include EMA and regulators in the EU/European Economic Area, or EEA, member states for approvals in the EU centralized procedure and mutual recognition procedure as well as the FDA (for product approvals granted in the United States). However, the concrete functioning of the IRP is currently unclear. Any delay in obtaining, or an inability to obtain, any marketing approvals may force us or our collaborators to restrict or delay efforts to seek regulatory approval in the United Kingdom for our product candidates, which could significantly and materially harm our business.</w:t>
      </w:r>
    </w:p>
    <w:p>
      <w:pPr>
        <w:spacing w:after="0" w:line="1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United States. In addition, we do not have experience commercializing products outside of the United States and such efforts may depend on our ability to find a suitable collaborator.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conduct certain of our clinical trials globally. However, the FDA and other foreign equivalents may not accept data from such trials, in which case our development plans will be delayed, which could materially harm our business.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conducted and intend to continue conducting certain of our clinical trials globally. The acceptance by the FDA or other regulatory authorities of study data from clinical trials conducted outside their jurisdiction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Conducting clinical trials outside the United States also exposes us to additional risks, including risks associated with:</w:t>
      </w:r>
    </w:p>
    <w:p>
      <w:pPr>
        <w:spacing w:after="0" w:line="225" w:lineRule="exact"/>
        <w:rPr>
          <w:sz w:val="20"/>
          <w:szCs w:val="20"/>
          <w:color w:val="auto"/>
        </w:rPr>
      </w:pPr>
    </w:p>
    <w:p>
      <w:pPr>
        <w:ind w:left="340" w:hanging="238"/>
        <w:spacing w:after="0"/>
        <w:tabs>
          <w:tab w:leader="none" w:pos="340" w:val="left"/>
        </w:tabs>
        <w:numPr>
          <w:ilvl w:val="0"/>
          <w:numId w:val="4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additional foreign regulatory requirements;</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foreign exchange fluctuations;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cultural differences in medical practice and clinical research;</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diminished protection of intellectual property in some countries;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4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interruptions or delays in our trials resulting from geopolitical events, such as war or terrorism.</w:t>
      </w: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Products utilizing our technology may need to be approved or cleared by the FDA and similar regulatory agencies or certified by notified bodies worldwide as medical devices. We may not receive, or may be delayed in receiving, the necessary approval, clearance or certification for our future medical device products, which would adversely affect business, financial condition, results of operations and prospects.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developing artificial intelligence, or AI, and surgical assistance offerings that may be subject to regulation as medical devices in the United States and other jurisdictions. We have not yet utilized our AI platform in the development of Illuccix or our product candidates. To date, we have not had any discussion with the FDA or other regulatory authorities or notified bodies regarding the regulatory pathways required to market these technologies. The FDA or similar regulatory agencies may subject these offerings to medical device requirements, including premarket review, lengthier or more rigorous processes than we expected that may include the performance of one or more clinical trials. Efforts to achieve requisite governmental clearances and approvals could be costly and time consuming, and we may not be able to obtain any such required clearances or approvals in accordance with our anticipated timeline or in a cost-efficient manner. Any delay or failure to obtain necessary regulatory clearances, approvals or certifications could have a material negative impact on our ability to generate revenues.</w:t>
      </w:r>
    </w:p>
    <w:p>
      <w:pPr>
        <w:spacing w:after="0" w:line="3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6" w:right="5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United States, before we can market a new medical device, or a new use of, new claim for or significant modification to an existing product, we must first receive either clearance under Section 510(k) of the FDCA or approval of a premarket approval application, or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generally much more costly and uncertain than the 510(k) clearance process and generally takes from one to three years, or even longer, from the time the application is submitted to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or other restrictions or requirements, which may limit the market for the device.</w:t>
      </w:r>
    </w:p>
    <w:p>
      <w:pPr>
        <w:spacing w:after="0" w:line="1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FDA, comparable foreign regulatory authorities or notified bodies can delay, limit or deny clearance, approval or certification of a medical device for many reasons, including:</w:t>
      </w:r>
    </w:p>
    <w:p>
      <w:pPr>
        <w:spacing w:after="0" w:line="162" w:lineRule="exact"/>
        <w:rPr>
          <w:sz w:val="20"/>
          <w:szCs w:val="20"/>
          <w:color w:val="auto"/>
        </w:rPr>
      </w:pPr>
    </w:p>
    <w:p>
      <w:pPr>
        <w:ind w:left="660" w:right="220" w:hanging="328"/>
        <w:spacing w:after="0" w:line="261"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authority or notified body that our product candidates are safe or effective for their intended uses or are substantially equivalent to a predicate device;</w:t>
      </w:r>
    </w:p>
    <w:p>
      <w:pPr>
        <w:ind w:left="660" w:right="640" w:hanging="328"/>
        <w:spacing w:after="0" w:line="25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or the applicable foreign regulatory authority with the design or implementation of our clinical studies or the interpretation of data from pre-clinical studies or clinical studies;</w:t>
      </w: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effects experienced by participants in our clinical studies;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studies may be insufficient to support clearance, approval or certification where required;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9" w:lineRule="exact"/>
        <w:rPr>
          <w:rFonts w:ascii="Times New Roman" w:cs="Times New Roman" w:eastAsia="Times New Roman" w:hAnsi="Times New Roman"/>
          <w:sz w:val="18"/>
          <w:szCs w:val="18"/>
          <w:color w:val="auto"/>
        </w:rPr>
      </w:pPr>
    </w:p>
    <w:p>
      <w:pPr>
        <w:ind w:left="660" w:right="540" w:hanging="328"/>
        <w:spacing w:after="0" w:line="26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applicable foreign regulatory authorities to change significantly in a manner rendering our clinical data or regulatory filings insufficient for clearance or approval.</w:t>
      </w:r>
    </w:p>
    <w:p>
      <w:pPr>
        <w:spacing w:after="0" w:line="1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Subject to the transitional provisions and in order to sell our products in EU member states, our products must also comply with the general safety and performance requirements of the EU Medical Devices Regulation, which repeals and replaces the Medical Devices Directive. Compliance with these requirements is a prerequisite to be able to affix the European Conformity, or CE, mark to our products, without which they cannot be sold or marketed in the European Union. All medical devices placed on the market in the European Union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Even if regulatory clearance, approval or certification is obtained, such products will remain subject to extensive regulatory requirements. If we fail to comply with the regulatory requirements of the FDA and other applicable U.S. and foreign regulatory authorities, or previously unknown problems with any approved commercial products, manufacturers or manufacturing processes are discovered, we could be subject to administrative or judicially imposed sanctions. In addition, the cost of compliance with new laws or regulations governing our technology or future products could adversely affect our business, financial condition, results of operations and prospects. New laws or regulations may impose restrictions or obligations on us that could force us to redesign our technology or other future products or services, and may impose restrictions that are not possible or practicable to comply with, which could cause our business to fail.</w:t>
      </w:r>
    </w:p>
    <w:p>
      <w:pPr>
        <w:spacing w:after="0" w:line="19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Illuccix and any of our product candidates for which we obtain marketing approval in the future are subject to post-marketing regulatory requirements and could be subject to post-marketing restrictions or withdrawal from the market, and we may be subject to substantial penalties if we fail to comply with regulatory requirements or if we experience unanticipated problems with our products following approval.</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Illuccix and any of our product candidates for which we obtain marketing clearance or approval in the future, as well as the manufacturing processes, post-approval studies and measures, labeling, advertising and promotional activities for such products, among other things, will be subject to continual requirements of and review by the FDA and other U.S. and foreign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and related compliance requirements such as price reporting, transparency reporting and requirements regarding the distribution of samples to physicians and recordkeeping. Even if marketing authorization is granted, it may be subject to limitations on the indicated uses for which the product may be marketed or to the conditions of approval, including in the case of drug or biological products, the requirement to implement a REMS, which could include requirements for a restricted distribution system.</w:t>
      </w:r>
    </w:p>
    <w:p>
      <w:pPr>
        <w:sectPr>
          <w:pgSz w:w="11900" w:h="16838" w:orient="portrait"/>
          <w:cols w:equalWidth="0" w:num="1">
            <w:col w:w="11240"/>
          </w:cols>
          <w:pgMar w:left="320" w:top="116"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FDA and comparable foreign regulatory authorities may also impose requirements for costly post-marketing studies or clinical trials and surveillance to monitor the safety or efficacy of a drug or biological product. There are similar potential requirements for medical devices. In addition, manufacturers of approved products and those manufacturers’ facilities are required to comply with extensive requirements by the FDA and comparable foreign regulatory authorities, including ensuring that quality control and manufacturing procedures conform to cGMP regulations, which include requirements relating to quality control and quality assurance as well as the corresponding maintenance of records and documentation and reporting requirements. We and our contract manufacturers could be subject to periodic unannounced inspections by the FDA or foreign regulatory authorities to monitor and ensure compliance with cGMPs (and similar foreign requirements) or other regulations.</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If the FDA or another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w:t>
      </w:r>
    </w:p>
    <w:p>
      <w:pPr>
        <w:spacing w:after="0" w:line="180"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w:t>
      </w:r>
    </w:p>
    <w:p>
      <w:pPr>
        <w:spacing w:after="0" w:line="27"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change the way a product is distributed, conduct additional clinical trials, change the labeling of a product or require us to conduct additional post-marketing studies or surveillance;</w:t>
      </w: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conduct clinical trials, including full or partial clinical holds on ongoing or planned trials;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additional warnings on the product label, such as a “black box” warning, precaution or a contraindication;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the products, manufacturers or manufacturing process;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warning or untitled letters;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injunctions or civil or criminal penalties;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implement import bans;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voluntary or mandatory product recalls and publicity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totally or partially suspend production;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operations, including costly new manufacturing requirements.</w:t>
      </w:r>
    </w:p>
    <w:p>
      <w:pPr>
        <w:spacing w:after="0" w:line="20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adversely affect our ability to commercialize and generate revenue from our products. If regulatory sanctions are applied or if regulatory approval is withdrawn, our business will be seriously harmed.</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our currently approved products and assuming we receive marketing approval for one or more of our product candidates, we and our contract manufacturers will continue to expend time, money and effort in all areas of regulatory compliance, including manufacturing, production, product surveillance and quality control. If we are not able to comply with post-approval regulatory requirements, our ability to market any future products could be limited, which could adversely affect our ability to sustain profitability. Further, the cost of compliance with post-approval regulations may have a negative effect on our operating results and financial condition.</w:t>
      </w:r>
    </w:p>
    <w:p>
      <w:pPr>
        <w:spacing w:after="0" w:line="17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 If we are found or alleged to have improperly promoted off-label uses, we may become subject to significant liability.</w:t>
      </w:r>
    </w:p>
    <w:p>
      <w:pPr>
        <w:spacing w:after="0" w:line="15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FDA and other U.S. or foreign agencies, including the Department of Justice, or DOJ, closely regulate and monitor the post-approval marketing and promotion of drugs and biological products to ensure that they are manufactured, marketed and distributed only for the approved indications and in accordance with the provisions of the approved labeling. The FDA imposes stringent restrictions on manufacturers’ communications regarding off-label use, and if we communicate about any of our product candidates for which we, or they, receive marketing approval in a way that regulators assert goes beyond their approved indications, we, or they, may be subject to warnings or enforcement action for off-label marketing. Alleged violations of the FDCA or other statutes, including the False Claims Act, or the FCA, relating to the promotion and advertising of prescription drugs may lead to investigations or allegations of violations of federal and state health care fraud and abuse laws and state consumer protection laws.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September 2021, the FDA published final regulations which describe the types of evidence that the agency will consider in determining the intended use of a drug or biologic.</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the agency’s non-binding policies governing the distribution of scientific information on unapproved uses to healthcare providers. This final guidance calls for such communications to be truthful, non-misleading, factual, and unbiased and include all information necessary for healthcare providers to interpret the strengths and weaknesses and validity and utility of the information about the unapproved use. In addition, under some relatively recent guidance from the FDA and the Pre-Approval Information Exchange Act, or PIE Act, signed into law as part of the Consolidated Appropriations Act of 2023, companies may also promote information that is consistent with the prescribing information and proactively speak to formulary committee members of payors regarding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or the FTC,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is entitled to a share of any recovery or settlement.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suits, also commonly referred to as “whistleblower suits,” are often brought by current or former employees. In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the government must decide whether to intervene and prosecute the case. If it declines, the individual may pursue the case alone.</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If the FDA or any other governmental agency initiates an enforcement action against us or if we are the subject of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8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certain designations for our product candidates in the United States, including breakthrough therapy, fast track and priority review designations, and PRIME designation in the European Union, but we might not receive such designations, and even if we do, such designations may not lead to a faster development or regulatory review or approval process.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seek certain designations for one or more of our product candidates that could expedite review and approval by the FDA. A breakthrough therapy-designated product candidate is defined as a product candidate that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We have received breakthrough therapy designation for our kidney cancer imaging product candidate, TLX250-CDx. Breakthrough therapy designation may not lead to a faster development or regulatory review or approval process, and does not increase the likelihood that any product candidate that receives a breakthrough therapy designation will receive marketing approval.</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FDA may also issue fast track designation to a product candidate if it is intended, alone or in combination with one or more other products, for the treatment of a serious or life-threatening disease or condition, and it demonstrates the potential to address unmet medical needs for such a disease or condition. We have received fast track designation for our glioma imaging product candidate, TLX101-CDx. For fast track-designated product candidates, sponsors may have greater interactions with the FDA and the FDA may initiate review of sections of a fast track product candidate’s application before the application is complete. This rolling review may be available if the FDA determines, after preliminary evaluation of clinical data submitted by the sponsor, that a fast track product may be effective.</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may also seek priority review for one or more of our product candidates. If the FDA determines that a product candidate has the potential to provide a significant improvement in the treatment, diagnosis or prevention of a serious disease or condition, and if approved would provide a significant improvement in the safety or effectiveness of the treatment, prevention, or diagnosis of such disease or condition, the FDA may designate the product candidate for priority review upon submission of a marketing application seeking approval of that product. A priority review designation means that the goal for the FDA to review an application is six months, rather than the standard review period of ten months.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designations are within the discretion of the FDA. Accordingly, even if we believe that one of our product candidates meets the criteria for these designations, the FDA may disagree and reject our request for designation. Further, even if we receive a designation, such as the breakthrough therapy designation for our kidney cancer imaging product TLX250-CDx or the fast track designation for our glioma imaging candidate TLX101-CDx, the receipt of such designation for a product candidate may not result in a faster development or regulatory review or approval process compared to product candidates considered for approval under conventional FDA procedures, and the designation does not assure ultimate approval by the FDA. In addition, even if one or more of our product candidates qualifies for these designations, the FDA may later decide that the product candidates no longer meet the conditions for qualification and rescind the designation or decide that the time period for FDA review or approval will not be shortened.</w:t>
      </w:r>
    </w:p>
    <w:p>
      <w:pPr>
        <w:spacing w:after="0" w:line="18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In the European Union, we may seek PRIME designation for some of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European Union or even if such a method exists, it may offer a major therapeutic advantage over existing treatments. PRIME is limited to medicines under development and not authorized in the European Union and the sponsor intends to apply for an initial MAA through the centralized procedure. To be accepted for PRIME, a product candidate must meet the eligibility criteria with respect to its major public health interest and therapeutic innovation based on information that is capable of substantiating the claims. The benefits of a PRIME designation include the appointment of a CHMP rapporteur to provide continued support and help to build knowledge ahead of a MAA,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w:t>
      </w:r>
    </w:p>
    <w:p>
      <w:pPr>
        <w:sectPr>
          <w:pgSz w:w="11900" w:h="16885" w:orient="portrait"/>
          <w:cols w:equalWidth="0" w:num="1">
            <w:col w:w="11220"/>
          </w:cols>
          <w:pgMar w:left="320" w:top="116" w:right="359" w:bottom="0" w:gutter="0" w:footer="0" w:header="0"/>
        </w:sectPr>
      </w:pPr>
    </w:p>
    <w:bookmarkStart w:id="42" w:name="page43"/>
    <w:bookmarkEnd w:id="42"/>
    <w:p>
      <w:pPr>
        <w:spacing w:after="0" w:line="266" w:lineRule="auto"/>
        <w:rPr>
          <w:sz w:val="20"/>
          <w:szCs w:val="20"/>
          <w:color w:val="auto"/>
        </w:rPr>
      </w:pPr>
      <w:r>
        <w:rPr>
          <w:rFonts w:ascii="Times New Roman" w:cs="Times New Roman" w:eastAsia="Times New Roman" w:hAnsi="Times New Roman"/>
          <w:sz w:val="18"/>
          <w:szCs w:val="18"/>
          <w:color w:val="auto"/>
        </w:rPr>
        <w:t>scientific advice and health technology assessment advice to facilitate timely market access. Even if we or our collaborators receive PRIME designation for any of our product candidates, the designation may not result in a materially faster development process, review or approval compared to conventional EMA procedures. Further, obtaining PRIME designation does not assure or increase the likelihood of the EMA’s grant of a marketing authorization.</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seek approval of our product candidates from the FDA or comparable foreign regulatory authorities through the use of accelerated development pathways. If we are not able to use such pathways, we may be required to conduct additional clinical trials beyond those that are contemplated, which would increase the expense of obtaining, and delay or prevent the receipt of, necessary marketing approvals. Moreover, even if we receive accelerated approval from the FDA or comparable foreign regulatory authorities, if our confirmatory trials do not verify clinical benefit, or if we do not comply with rigorous post-marketing requirements, the FDA or comparable foreign regulatory authorities may seek to withdraw accelerated approval.</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Federal Food, Drug and Cosmetic Act, or FDCA, and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measurement of a therapeutic effect that is considered reasonably likely to predict the clinical benefit. Prior to seeking such accelerated approval, we will continue to seek feedback from the FDA or comparable foreign regulatory agencies and otherwise evaluate our, or their, ability to seek and receive such accelerated approval.</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 FDA or foreign regulatory agencies will agree with our surrogate endpoints or intermediate clinical endpoints in any of our clinical trials, or that we will decide to pursue or submit any additional NDAs or BLAs seeking accelerated approval. Similarly, there can be no assurance that, after feedback from the FDA or comparable foreign regulatory agencies, we will continue to pursue or apply for accelerated approval. Furthermore, for any submission of an application for accelerated approval, there can be no assurance that such submission will be accepted for filing or that any expedited development, review or approval will be granted on a timely basis, or at all.</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Finally, there can be no assurance that we will satisfy all FDA requirements, including new provisions that govern accelerated approval. For example, with passage of the FDORA in December 2022, Congress modified certain provisions governing accelerated approval of drug and biologic products. Specifically, the new legislation (i) authorized FDA to require a sponsor to have its confirmatory clinical trial underway before accelerated approval is awarded; (ii) requires a sponsor of a product granted accelerated approval to submit progress reports on its post-approval studies to FDA every six months until the study is completed; and (iii) authorizes FDA to use expedited procedures to withdraw accelerated approval of an NDA or a BLA if certain conditions are met, including where a required confirmatory study fails to verify and describe the predicted 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Commissioner or the Commissioner’s designee and a written appeal, among other things. We will need to fully comply with these and other requirements in connection with the development and approval of any product candidate that qualifies for accelerated approval.</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March 2023, the FDA issued draft guidance that outlines its current thinking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guidances relating to accelerated approval. These guidances describe FDA’s latest thinking on what it means to conduct a confirmatory trial with due diligence and how the agency plans to interpret whether such a study needs to be underway at the time of approval. While these guidances are currently only in draft form and will ultimately not be legally binding even when finalized, sponsors typically observe the FDA’s guidance closely to ensure that their investigational products qualify for accelerated approval.</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European Union, a “conditional” marketing authorization may be granted in cases where all the required safety and efficacy data are not yet available.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become a “standard” marketing authorization. However, if the conditions are not fulfilled within the timeframe set by the EMA, the marketing authorization will cease to be renewed.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a failure to obtain and maintain accelerated approval or any other form of expedited development, review or approval for our product candidates, or withdrawal of a product candidate, would result in a longer time period until commercialization of such product candidate, could increase the cost of development of such product candidate and could harm our competitive position in the marketplace.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designation or exclusivity for any product candidates we may develop, and even if we do, that exclusivity may not prevent the FDA or foreign regulatory authorities from approving other competing products.</w:t>
      </w:r>
    </w:p>
    <w:p>
      <w:pPr>
        <w:spacing w:after="0" w:line="15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Under the Orphan Drug Act, the FDA may designate a product as an orphan drug if it is a drug or biologic intended to treat a rare disease or condition, meaning that the product is intended for a condition or disease with a patient population of fewer than 200,000 individuals annually in the United States, or more than 200,000 individuals in the United States for which there is no reasonable expectation that the cost of developing and making available in the United States the drug or biologic will be recovered from sales in the United States for that drug or biologic. For example, we have received orphan drug designations from the FDA for TLX101 for the treatment of glioma, for TLX101-CDx for the imaging of glioma and for TLX66 as a conditioning treatment prior to hematopoietic stem cell transplant. TLX090 (</w:t>
      </w:r>
      <w:r>
        <w:rPr>
          <w:rFonts w:ascii="Times New Roman" w:cs="Times New Roman" w:eastAsia="Times New Roman" w:hAnsi="Times New Roman"/>
          <w:sz w:val="29"/>
          <w:szCs w:val="29"/>
          <w:color w:val="auto"/>
          <w:vertAlign w:val="superscript"/>
        </w:rPr>
        <w:t>153</w:t>
      </w:r>
      <w:r>
        <w:rPr>
          <w:rFonts w:ascii="Times New Roman" w:cs="Times New Roman" w:eastAsia="Times New Roman" w:hAnsi="Times New Roman"/>
          <w:sz w:val="18"/>
          <w:szCs w:val="18"/>
          <w:color w:val="auto"/>
        </w:rPr>
        <w:t>Sm-DOTMP) and TLX102 (4-[</w:t>
      </w:r>
      <w:r>
        <w:rPr>
          <w:rFonts w:ascii="Times New Roman" w:cs="Times New Roman" w:eastAsia="Times New Roman" w:hAnsi="Times New Roman"/>
          <w:sz w:val="29"/>
          <w:szCs w:val="29"/>
          <w:color w:val="auto"/>
          <w:vertAlign w:val="superscript"/>
        </w:rPr>
        <w:t>211</w:t>
      </w:r>
      <w:r>
        <w:rPr>
          <w:rFonts w:ascii="Times New Roman" w:cs="Times New Roman" w:eastAsia="Times New Roman" w:hAnsi="Times New Roman"/>
          <w:sz w:val="18"/>
          <w:szCs w:val="18"/>
          <w:color w:val="auto"/>
        </w:rPr>
        <w:t xml:space="preserve">At] astato-l-phenylalanine, or </w:t>
      </w:r>
      <w:r>
        <w:rPr>
          <w:rFonts w:ascii="Times New Roman" w:cs="Times New Roman" w:eastAsia="Times New Roman" w:hAnsi="Times New Roman"/>
          <w:sz w:val="29"/>
          <w:szCs w:val="29"/>
          <w:color w:val="auto"/>
          <w:vertAlign w:val="superscript"/>
        </w:rPr>
        <w:t>211</w:t>
      </w:r>
      <w:r>
        <w:rPr>
          <w:rFonts w:ascii="Times New Roman" w:cs="Times New Roman" w:eastAsia="Times New Roman" w:hAnsi="Times New Roman"/>
          <w:sz w:val="18"/>
          <w:szCs w:val="18"/>
          <w:color w:val="auto"/>
        </w:rPr>
        <w:t>At-APA) have also been granted orphan drug designation by the FDA for the treatment of osteosarcoma and multiple myeloma, respectively. In addition, in the European Union,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European Union when the application is made, or (b) the product, without the benefits derived from orphan status, would not generate sufficient return in the European Union to justify investment; and (iii) there exists no satisfactory method of diagnosis, prevention or treatment of such condition authorized for marketing in the European Union, or if such a method exists, the medicinal product will be of significant benefit to those affected by the condition. For example, TLX101 and TLX66 have been granted orphan drug designation in Europe. Orphan drug designation may not lead to a faster development or regulatory review or approval process and does not increase the likelihood that any product candidate that receives an orphan drug designation will receive marketing approval.</w:t>
      </w:r>
    </w:p>
    <w:p>
      <w:pPr>
        <w:spacing w:after="0" w:line="19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Generally, if a product candidate with an orphan drug designation subsequently receives the first marketing approval for the disease or condition for which it has such designation, the product is entitled to a period of marketing exclusivity, which precludes the FDA or foreign regulatory authorities, as applicable, from approving another marketing application for the same product for the same disease or condition for that time period. The applicable period is seven years in the United States and ten years in the European Union. The exclusivity period in the European Union can be reduced to six years if, at the end of the fifth year, a product no longer meets the criteria for Orphan Designation, in particular if the product is sufficiently profitable so that market exclusivity is no longer justified. Even if we obtain the designation and if, upon approval, we obtain orphan drug exclusivity for a product, that exclusivity may not effectively protect the product from competition because different products can be approved for the same disease or condition. In addition, even after an orphan drug or biologic is approved, the FDA and comparable foreign regulatory authorities, such as the European Commission, can subsequently approve the same product for the same condition if the FDA or such other authorities conclude that the later product is clinically superior in that it is shown to be safer, more effective or makes a major contribution to patient care. Orphan drug exclusivity may also be lost if the FDA or comparable foreign regulatory authorities determines that the request for designation was materially defective or if the manufacturer is unable to assure sufficient quantity of the product to meet the needs of the patients with the rare disease or condition.</w:t>
      </w:r>
    </w:p>
    <w:p>
      <w:pPr>
        <w:spacing w:after="0" w:line="19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FDA and Congress may further reevaluate the Orphan Drug Act and its regulations and policies. This may be particularly true in light of a decision from the Court of Appeals for the 11th Circuit in September 2021 finding that, for the purpose of determining the scope of exclusivity, the term “same disease or condition” means the designated “rare disease or condition” and could not be interpreted by the FDA to mean the “indication or use.” Thus, the court concluded, orphan drug exclusivity applies to the entire designated disease or condition rather than the “indication or use.” Although there have been legislative proposals to overrule this decision, they have not been enacted into law. On January 23, 2023, the FDA announced that, in matters beyond the scope of that court order, the FDA will continue to apply its existing regulations tying orphan-drug exclusivity to the uses or indications for which the orphan drug was approved. We do not know if, when, or how the FDA may change the orphan drug regulations and policies in the future or whether Congress will take legislative action, and it is uncertain how any changes might affect our business. Depending on what changes the FDA or Congress may make to orphan drug regulations and policies, our business could be adversely impacted.</w:t>
      </w:r>
    </w:p>
    <w:p>
      <w:pPr>
        <w:spacing w:after="0" w:line="18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certain of our product candidates satisfy the requirements for the Section 505(b)(2) regulatory approval pathway, or if the requirements for such product candidates under Section 505(b)(2) are not as we expect, the approval pathway for those product candidates will likely take significantly longer, cost significantly more and entail significantly greater complications and risks than anticipated, and in either case may not be successful.</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developing certain product candidates for which we may seek FDA approval through the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applicant and for which the applicant has not obtained a right of reference. Section 505(b)(2), if applicable to us under the FDCA, would allow an NDA we submit to the FDA to rely in part on data in the public domain or the FDA’s prior conclusions regarding the safety and effectiveness of approved compounds, which could expedite the development program for our product candidates by potentially decreasing the amount of clinical data that we would need to generate in order to obtain FDA approval.</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the FDA does not allow us to pursue the Section 505(b)(2) regulatory pathway as anticipated, we may need to conduct additional clinical trials, provide additional data and information, and meet additional standards for regulatory approval.</w:t>
      </w:r>
    </w:p>
    <w:p>
      <w:pPr>
        <w:spacing w:after="0" w:line="16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If this were to occur, the time and financial resources required to obtain FDA approval for these product candidates, and complications and risks associated with these product candidates, would likely substantially increase. We could need to obtain additional funding, which could result in significant dilution to the ownership interests of our then existing shareholders to the extent we issue equity securities or convertible debt. We cannot assure you that we would be able to obtain such additional financing on terms acceptable to us, if at all. Moreover, inability to pursue the Section 505(b)</w:t>
      </w:r>
    </w:p>
    <w:p>
      <w:pPr>
        <w:spacing w:after="0" w:line="3" w:lineRule="exact"/>
        <w:rPr>
          <w:sz w:val="20"/>
          <w:szCs w:val="20"/>
          <w:color w:val="auto"/>
        </w:rPr>
      </w:pPr>
    </w:p>
    <w:p>
      <w:pPr>
        <w:ind w:right="360" w:firstLine="8"/>
        <w:spacing w:after="0" w:line="255"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pathway would likely result in new competitive products reaching the market more quickly than our product candidates, which would likely materially adversely impact our competitive position and prospects. Even if we are allowed to pursue the Section 505(b)(2) regulatory pathway, we cannot assure you that our product candidates will receive the requisite approvals for commercialization.</w:t>
      </w:r>
    </w:p>
    <w:p>
      <w:pPr>
        <w:spacing w:after="0" w:line="186"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In addition, notwithstanding the approval of a number of products by the FDA under Section 505(b)(2) over the last few years, certain brand-name pharmaceutical companies and others have objected to the FDA’s interpretation of Section 505(b)(2). If the FDA’s interpretation of Section 505(b)(2) is successfully challenged, the FDA may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NDAs for up to 30 months or longer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there is no guarantee this would ultimately lead to accelerated product development or earlier approval.</w:t>
      </w:r>
    </w:p>
    <w:p>
      <w:pPr>
        <w:spacing w:after="0" w:line="1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Moreover, even if our product candidates are approved under Section 505(b)(2),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172"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(or notified bodies) to review and approve or certify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other agencies, and authorities (or notified bodies) may also slow the time necessary for new product candidates to be reviewed and/or approved (or certified),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Disruptions at the FDA, other agencies, and authorities (or notified bodies) may also slow the time necessary for new product candidates to be reviewed and/or approved (or certified) by necessary government agencies, foreign regulatory authorities (or notified bodies), which would adversely affect our business. For example, over the last several years the U.S. government has shut down several times and certain regulatory agencies, such as the FDA and the SEC, have had to furlough critical employees and stop critical activities.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disruptions may result from events similar to the COVID-19 pandemic.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3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commercialize our or their product candidates, if approved, and affect the prices we, or they, may obtain.</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among other things, restrict or regulate post-approval activities and affect our ability to profitably sell or commercialize Illuccix or any product candidate for which we, or they, obtain marketing approval. We expect that current laws, as well as other healthcare reform measures that may be adopted in the future, may result in more rigorous coverage criteria and in additional downward pressure on the price that we, or any collaborators, may receive for any approved products. If reimbursement of our products is unavailable or limited in scope, our business could be materially harmed.</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Affordability Reconciliation Act (collectively the ACA) was enacted.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increased the statutory minimum rebates a manufacturer must pay under the Medicaid Drug Rebate Program; established a new Patient-Centered Outcomes Research Institute to oversee, identify priorities in, and conduct comparative clinical effectiveness research, along with funding for such research; and established a Center for Medicare &amp; Medicaid Innovation at CMS, an agency within the U.S. Department of Health and Human Services, or HHS, to test innovative payment and service delivery models to lower Medicare and Medicaid spending. 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Litigation and legislation over the ACA are likely to continue, with unpredictable and uncertain results.</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US$1.2 trillion for the years 2013 through 2021, was unable to reach required goals, thereby triggering the legislation’s automatic reduction to several government programs. These changes included aggregate reductions to Medicare payments to providers, which went into effect in April 2013 and will remain in effect through 2032. The American Taxpayer Relief Act of 2012, among other things, reduced Medicare payments to several providers and increased the statute of limitations period for the government to recover overpayments to providers from three to five years. Further, with the passage of the Inflation Reduction Act, or the IRA, in August 2022, Congress extended the expansion of ACA premium tax credits through 2025.</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and other laws may result in additional reductions in Medicare and other healthcare funding and otherwise affect the prices we may obtain for any of our products or product candidates for which we may obtain regulatory approval or the frequency with which any such product is prescribed or used. For example, on March 11, 2021, the American Rescue Plan Act of 2021 was signed into law, which eliminates the statutory cap on the Medicaid drug rebate, beginning January 1, 2024. The rebate was previously capped at 100% of a drug’s average manufacturer price.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the European Union, on December 13, 2021, Regulation No 2021/2282 on Health Technology Assessment, or HTA, amending Directive 2011/24/EU, was adopted. While the Regulation entered into force in January 2022, it will only begin to apply from January 2025 onwards, with preparatory and implementation-related steps to take place in the interim.</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 level for joint clinical assessments in these areas. It will permit EU member states to use common HTA tools, methodologies, and procedures across the European Union,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9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and new payment methodologies that govern Illuccix or any other approved product and/or the level of reimbursement physicians receive for administering Illuccix or any other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Illuccix or from product candidates for which we may obtain marketing approval and may affect our overall financial condition and ability to develop or commercialize product candidates.</w:t>
      </w:r>
    </w:p>
    <w:p>
      <w:pPr>
        <w:spacing w:after="0" w:line="18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products is uncertain. Illuccix and product candidates, if approved, may become subject to unfavorable pricing regulations, third-party coverage and reimbursement practices, or healthcare reform initiatives, which would harm our business. Failure to obtain or maintain coverage and adequate reimbursement for Illuccix or any other product candidates for which we obtain approval could limit our ability to market those products and decrease our ability to generate revenue.</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drugs and other medical products vary widely from country to country. In the United States, healthcare reform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products or product candidates, even if any product candidates we may develop obtain marketing approval.</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ability to successfully commercialize our products and product candidates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product candidates that we may identify will depend substantially, both domestically and abroad, on the extent to which the costs of our products and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or product candidates. Even if coverage is provided, the approved reimbursement amount may not be high enough to allow us to establish or maintain pricing sufficient to realize a sufficient return on our investment. 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products and product candidates. Accordingly, in markets outside the United States, the reimbursement for products may be reduced compared with the United States and may be insufficient to generate commercially reasonable revenues and profits.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payer to payer. As a result, the coverage determination process is often a time consuming and costly process that may require us to provide scientific and clinical support for the use of our products to each payer separately, with no assurance that coverage and adequate reimbursement will be applied consistently or obtained in the first instance. It is difficult to predict what CMS will decide with respect to reimbursement for fundamentally novel products such as ours, as there is no body of established practices and precedents for these new products.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 Further, due to the COVID-19 pandemic, millions of individuals have lost/will be losing employer-based insurance coverage, which may adversely affect our ability to commercialize our products, As noted above, in the United States, we plan to have various programs to help patients afford our products, including patient assistance programs and co-pay coupon programs for eligible patients.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third-party payors for any approved products that we develop could have a material adverse effect on our operating results, our ability to raise capital needed to commercialize products and our overall financial condition.</w:t>
      </w:r>
    </w:p>
    <w:p>
      <w:pPr>
        <w:spacing w:after="0" w:line="18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Increasingly, third-party payors are requiring that pharmaceutical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or product candidate for which we obtain marketing approval. In order to obtain reimbursement, physicians may need to show that patients have superior treatment outcomes with our products compared to standard-of-care drugs, including lower-priced generic versions of standard-of-care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Additionally, we may develop companion diagnostic tests for use with our product candidates. We may be required to obtain coverage and reimbursement for these tests separate and apart from the coverage and reimbursement we seek for our product candidates, once approved. Even if we obtain regulatory approval or clearance for such companion diagnostics, there is significant uncertainty regarding our ability to obtain coverage and adequate reimbursement for the same reasons applicable to our product candidates. Medicare reimbursement methodologies, whether under Part A, Part B, or clinical laboratory fee schedule may be amended from time to time, and we cannot predict what effect any change to these methodologies would have on any product candidate or companion diagnostic for which we receive approval.</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prices of prescription pharmaceuticals in the United States and foreign jurisdictions are subject to considerable legislative and executive actions and could impact the prices we obtain for our products, if and when approved.</w:t>
      </w:r>
    </w:p>
    <w:p>
      <w:pPr>
        <w:spacing w:after="0" w:line="15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October 2020, HHS and the FDA published a final rule allowing states and other entities to develop a Section 804 Importation Program, or SIP,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Several states have passed laws allowing for the importation of drugs from Canada. Other states  have passed legislation establishing workgroups to examine the impact of a state importation program. As of October 2024, five states (Colorado, Florida, Maine, New Hampshire and New Mexico) had submitted Section 804 Importation Program proposals to the FDA. Vermont has submitted a concept letter to the HHS. On January 5, 2024, the FDA approved Florida’s plan for Canadian drug importation. That state now has authority to import certain drugs from Canada for a period of two years once certain conditions are met. Florida will first need to submit a pre-import request for each drug selected for importation, which must be approved by the FDA. The state will also need to relabel the drugs and perform quality testing of the products to meet FDA standards.</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final rule would also eliminate the current safe harbor for Medicare drug rebates and create new safe harbors for beneficiary point-of-sale discounts and pharmacy benefit manager service fees. It was originally set to go into effect on January 1, 2022, but with passage of the IRA, has been delayed by Congress to January 1, 2032.</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August 16, 2022, the IRA was enacted.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spacing w:after="0" w:line="3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nine years and biologics that have been licensed for 13 years, but it does not apply to drugs and biologics that have been approved for a single rare disease or condition. 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US$4,000 a year in 2024 and, thereafter beginning in 2025, at US$2,000 a year. The first cycle of negotiations for the Medicare Drug Price Negotiation Program commenced in the summer of 2023 and the second cycle will commence in the fall of 2024.</w:t>
      </w:r>
    </w:p>
    <w:p>
      <w:pPr>
        <w:spacing w:after="0" w:line="19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first cycle of negotiations for the Medicare Drug Price Negotiation Program commenced in the summer of 2023. On August 15, 2024, the HHS published the results of the first Medicare drug price negotiations for ten selected drugs that treat a range of conditions, including diabetes, chronic kidney disease, and rheumatoid arthritis. The prices of these ten drugs will become effective January 1, 2026. On January 17, 2025, CMS announced its selection of 15 additional drugs covered by Part D for the second cycle of negotiations by February 1, 2025. While there had been some questions about the Trump Administration’s position on this program, CMS issued a public statement on January 29, 2025, declaring that lowering the cost of prescription drugs is a top priority of the new administration and CMS is committed to considering opportunities to bring greater transparency in the negotiation program. The second cycle of negotiations with participating drug companies will occur during 2025, and any negotiated prices for this second set of drugs will be effective starting January 1, 2027.</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June 6, 2023, Merck &amp; Co. filed a lawsuit against the HHS and CMS asserting that, among other things, the IRA’s Drug Price Negotiation Program for Medicare constitutes an uncompensated taking in violation of the Fifth Amendment of the Constitution. Subsequently, a number of other parties, also filed lawsuits in various courts with similar constitutional claims against the HHS and CMS. There have been various decisions by the courts considering these cases since they were filed. The HHS has generally won the substantive disputes in these cases, and various federal district court judges have expressed skepticism regarding the merits of the legal arguments being pursued by the pharmaceutical industry. Certain of these cases are now on appeal and, on October 30, 2024, the Court of Appeals for the Third Circuit heard oral argument in three of these cases. 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This is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Finally, outside of the United States, in some countries, including those of the European Union, the pricing of prescription pharmaceuticals is subject to governmental control and access. In these countries, official list price country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to other available therapies.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measures, as well as others adopted in the future, may result in additional downward pressure on the price that we receive for Illuccix or any other approved product we or our collaborators might bring to market. Accordingly, such reforms, if enacted, could have an adverse effect on anticipated revenue from Illuccix or from product candidates that we may successfully develop and for which we, or they, may obtain marketing approval and may affect our overall financial condition and ability to develop or commercialize product candidates.</w:t>
      </w:r>
    </w:p>
    <w:p>
      <w:pPr>
        <w:spacing w:after="0" w:line="176"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radiopharmacies, healthcare providers,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Healthcare professionals, including but not limited to physicians, nurses, medical directors, hospitals, pharmacies, pharmacy benefit managers, group purchasing organizations, wholesalers, insurers, and all individuals employed by such entities, which we refer to collectively as HCPs, may influence the recommendation and prescription of our approved products. Our arrangements with HCPs and others who have the ability to improperly influence the recommendation and prescription of our products may expose us to broadly applicable fraud and abuse and other healthcare laws and regulations that may constrain the business or financial arrangements and relationships through which we market, sell and distribute our approved products. Restrictions under applicable federal, state and foreign healthcare laws and regulations include the following:</w:t>
      </w:r>
    </w:p>
    <w:p>
      <w:pPr>
        <w:spacing w:after="0" w:line="187" w:lineRule="exact"/>
        <w:rPr>
          <w:sz w:val="20"/>
          <w:szCs w:val="20"/>
          <w:color w:val="auto"/>
        </w:rPr>
      </w:pPr>
    </w:p>
    <w:p>
      <w:pPr>
        <w:ind w:left="340" w:right="240" w:hanging="238"/>
        <w:spacing w:after="0" w:line="254" w:lineRule="auto"/>
        <w:tabs>
          <w:tab w:leader="none" w:pos="340" w:val="left"/>
        </w:tabs>
        <w:numPr>
          <w:ilvl w:val="0"/>
          <w:numId w:val="4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arranging for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w:t>
      </w:r>
    </w:p>
    <w:p>
      <w:pPr>
        <w:spacing w:after="0" w:line="3" w:lineRule="exact"/>
        <w:rPr>
          <w:rFonts w:ascii="Times New Roman" w:cs="Times New Roman" w:eastAsia="Times New Roman" w:hAnsi="Times New Roman"/>
          <w:sz w:val="18"/>
          <w:szCs w:val="18"/>
          <w:color w:val="0A2E94"/>
        </w:rPr>
      </w:pPr>
    </w:p>
    <w:p>
      <w:pPr>
        <w:jc w:val="both"/>
        <w:ind w:left="340" w:hanging="238"/>
        <w:spacing w:after="0" w:line="250" w:lineRule="auto"/>
        <w:tabs>
          <w:tab w:leader="none" w:pos="340" w:val="left"/>
        </w:tabs>
        <w:numPr>
          <w:ilvl w:val="0"/>
          <w:numId w:val="4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FCA imposes criminal and civil penalties, including civil whistleblower or qui tam actions, against individuals or entities for knowingly presenting or causing to be presented, to the federal government, claims for payment or approval from Medicare, Medicaid or other government payors that are false or fraudulent or making a false statement to avoid, decrease or conceal an obligation to pay money to the federal government, with potential liability including mandatory treble damages and significant per-claim penalties. In addition, the government may assert that a claim including items or services resulting from a violation of the federal Anti-Kickback Statute constitutes a false or fraudulent claim for purposes of the FCA;</w:t>
      </w:r>
    </w:p>
    <w:p>
      <w:pPr>
        <w:spacing w:after="0" w:line="1" w:lineRule="exact"/>
        <w:rPr>
          <w:rFonts w:ascii="Times New Roman" w:cs="Times New Roman" w:eastAsia="Times New Roman" w:hAnsi="Times New Roman"/>
          <w:sz w:val="18"/>
          <w:szCs w:val="18"/>
          <w:color w:val="0A2E94"/>
        </w:rPr>
      </w:pPr>
    </w:p>
    <w:p>
      <w:pPr>
        <w:ind w:left="340" w:right="100" w:hanging="238"/>
        <w:spacing w:after="0" w:line="265" w:lineRule="auto"/>
        <w:tabs>
          <w:tab w:leader="none" w:pos="340" w:val="left"/>
        </w:tabs>
        <w:numPr>
          <w:ilvl w:val="0"/>
          <w:numId w:val="49"/>
        </w:numPr>
        <w:rPr>
          <w:rFonts w:ascii="Times New Roman" w:cs="Times New Roman" w:eastAsia="Times New Roman" w:hAnsi="Times New Roman"/>
          <w:sz w:val="17"/>
          <w:szCs w:val="17"/>
          <w:color w:val="0A2E94"/>
        </w:rPr>
      </w:pPr>
      <w:r>
        <w:rPr>
          <w:rFonts w:ascii="Times New Roman" w:cs="Times New Roman" w:eastAsia="Times New Roman" w:hAnsi="Times New Roman"/>
          <w:sz w:val="17"/>
          <w:szCs w:val="17"/>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 Similar to the federal Anti-Kickback Statute, a person or entity does not need to have actual knowledge of the statute or specific intent to violate it in order to have committed a violation;</w:t>
      </w:r>
    </w:p>
    <w:p>
      <w:pPr>
        <w:ind w:left="340" w:right="240" w:hanging="238"/>
        <w:spacing w:after="0" w:line="250" w:lineRule="auto"/>
        <w:tabs>
          <w:tab w:leader="none" w:pos="340" w:val="left"/>
        </w:tabs>
        <w:numPr>
          <w:ilvl w:val="0"/>
          <w:numId w:val="4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federal transparency requirements under the federal Physician Payment Sunshine Act, which requires manufacturers of drugs, devices, biologics and medical supplies to report to the HHS, information related to payments and other transfers of value to physicians (as defined by statute), other healthcare providers and teaching hospitals and ownership and investment interests held by physicians and their immediate family members and applicable group purchasing organizations;</w:t>
      </w:r>
    </w:p>
    <w:p>
      <w:pPr>
        <w:spacing w:after="0" w:line="1" w:lineRule="exact"/>
        <w:rPr>
          <w:rFonts w:ascii="Times New Roman" w:cs="Times New Roman" w:eastAsia="Times New Roman" w:hAnsi="Times New Roman"/>
          <w:sz w:val="18"/>
          <w:szCs w:val="18"/>
          <w:color w:val="0A2E94"/>
        </w:rPr>
      </w:pPr>
    </w:p>
    <w:p>
      <w:pPr>
        <w:jc w:val="both"/>
        <w:ind w:left="340" w:hanging="238"/>
        <w:spacing w:after="0" w:line="250" w:lineRule="auto"/>
        <w:tabs>
          <w:tab w:leader="none" w:pos="340" w:val="left"/>
        </w:tabs>
        <w:numPr>
          <w:ilvl w:val="0"/>
          <w:numId w:val="4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certain state laws that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1" w:lineRule="exact"/>
        <w:rPr>
          <w:rFonts w:ascii="Times New Roman" w:cs="Times New Roman" w:eastAsia="Times New Roman" w:hAnsi="Times New Roman"/>
          <w:sz w:val="18"/>
          <w:szCs w:val="18"/>
          <w:color w:val="0A2E94"/>
        </w:rPr>
      </w:pPr>
    </w:p>
    <w:p>
      <w:pPr>
        <w:ind w:left="340" w:right="140" w:hanging="238"/>
        <w:spacing w:after="0" w:line="260" w:lineRule="auto"/>
        <w:tabs>
          <w:tab w:leader="none" w:pos="340" w:val="left"/>
        </w:tabs>
        <w:numPr>
          <w:ilvl w:val="0"/>
          <w:numId w:val="4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international, federal or state laws, regulations, or rules that oversee the compounding, administration or distribution of radiopharmaceutical products by licensed pharmacists.</w:t>
      </w:r>
    </w:p>
    <w:p>
      <w:pPr>
        <w:spacing w:after="0" w:line="1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healthcare programs, such as Medicare and Medicaid, imprisonment and the curtailment or restructuring of our operations, any of which could adversely affect our business, financial condition, results of operations and prospects.</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including certain advisory agreements we have entered into with physicians who are paid, in part, in the form of shares or share options,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healthcare programs. Liabilities they incur pursuant to these laws could result in significant costs or an interruption in operations, which could have a material adverse effect on our business, financial condition, results of operations and prospects.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reporting and payment obligations under the Medicaid Drug Rebate Program and other governmental drug pricing programs are complex and may involve subjective decisions. Any failure to comply with those obligations could subject us to penalties and sanctions.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a condition of reimbursement by various federal and state health insurance programs, we are required to calculate and report certain pricing information to federal and state agencies. The regulations governing the calculations, price reporting and payment obligations are complex and subject to interpretation by various government and regulatory agencies, as well as the courts. Reasonable assumptions have been made where there is lack of regulations or clear guidance and such assumptions involve subjective decisions and estimates. We are required to report any revisions to our calculation, price reporting and payment obligations previously reported or paid. Such revisions could affect our liability to federal and state payors and also adversely impact our reported financial results of operations in the period of such restatement. Further,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for the untimely, inaccurate, or incomplete reporting of drug pricing information or for otherwise failing to comply with drug price transparency requirements. If we are found to have violated state law requirements, we may become subject to significant penalties or other enforcement mechanisms, which could have a material adverse effect on our business.</w:t>
      </w:r>
    </w:p>
    <w:p>
      <w:pPr>
        <w:spacing w:after="0" w:line="187"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18"/>
          <w:szCs w:val="18"/>
          <w:color w:val="auto"/>
        </w:rPr>
        <w:t>Uncertainty exists as new laws, regulations, judicial decisions, or new interpretations of existing laws, or regulations related to our calculations, price reporting or payments obligations increases the chances of a legal challenge, restatement or investigation. If we become subject to investigations, restatements, or other inquiries concerning our compliance with price reporting laws and regulations, we could be required to pay or be subject to additional reimbursements, penalties, sanctions or fines, which could have a material adverse effect on our business, financial condition and results of operations. In addition, it is possible that future healthcare reform measures could be adopted, which could result in increased pressure on pricing and reimbursement of our products and thus have an adverse impact on our financial position or business operations.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state Medicaid programs may be slow to invoice pharmaceutical companies for calculated rebates resulting in a lag between the time a sale is recorded and the time the rebate is paid. This results in us having to carry a liability on our consolidated balance sheets for the estimate of rebate claims expected for Medicaid patients. If actual claims are higher than current estimates, our financial position and results of operations could be adversely affected.</w:t>
      </w:r>
    </w:p>
    <w:p>
      <w:pPr>
        <w:spacing w:after="0" w:line="180"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In addition to retroactive rebates and the potential for 340B Program refunds, if we are found to have knowingly submitted any false price information related to the Medicaid Drug Rebate Program to CMS, we may be liable for civil monetary penalties. Such failure could also be grounds for CMS to terminate our Medicaid drug rebate agreement, pursuant to which we participate in the Medicaid program. In the event that CMS terminates our rebate agreement, federal payments may not be available under government programs, including Medicaid or Medicare Part B, for our covered outpatient drugs.</w:t>
      </w:r>
    </w:p>
    <w:p>
      <w:pPr>
        <w:spacing w:after="0" w:line="1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if we overcharge the government in connection with the Federal Supply Schedule pricing program or Tricare Retail Pharmacy Program, whether due to a misstated Federal Ceiling Price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collaborators are also subject to similar requirements outside of the United States and thus the attendant risks and uncertainties. If our collaborators suffer material and adverse effects from such risks and uncertainties, our rights and benefits for our licensed products could be negatively impacted, which could have a material and adverse impact on our revenues.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privacy laws, information security laws, regulations, policies and contractual obligations related to data privacy and security and changes in such laws, regulations, policies, contractual obligations and failure to comply with such requirements could subject us to significant fines and penalties, which may have a material adverse effect on our business, financial condition or results of operations.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United States, European Union, United Kingdom and other countries in which we may conduct business.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w:t>
      </w:r>
    </w:p>
    <w:p>
      <w:pPr>
        <w:spacing w:after="0" w:line="187"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recent months, the Officer of Civil Rights, or OCR, has been especially active in enforcing the HIPAA rules.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Additionally, OCR is looking to amend the HIPAA Security Rule, which (if and when finalized) could create additional compliance obligations and risk for our business.</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to potential enforcement by the HHS, we could also be potentially subject to privacy enforcement from the FTC. The FTC has been particularly focused on the unpermitted processing of health and genetic data through its recent enforcement actions and is expanding the types of privacy violations that it interprets to be “unfair” under Section 5 of the FTC Act, as well as the types of activities it views to trigger the Health Breach Notification Rule (which the FTC also has the authority to enforce). The agency is also in the process of developing rules related to commercial surveillance and data security. We will need to account for the FTC’s evolving rules and guidance for proper privacy and data security practices in order to mitigate risk for a potential enforcement action, which may be costly. Finally, both the FTC and HHS’s enforcement priorities (as well as those of other federal regulators) may be impacted by the change in administration and new leadership. These shifts in enforcement priorities may also impact our business.</w:t>
      </w:r>
    </w:p>
    <w:p>
      <w:pPr>
        <w:spacing w:after="0" w:line="18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There are also increased restrictions at the federal level relating to transferring sensitive data outside of the United States to certain foreign countries. For example, in 2024, Congress passed H.B. 815, which included the Protecting Americans’ Data from Foreign Adversaries Act of 2024. This law creates certain restrictions for entities that disclose sensitive data (including potential health data) to countries such as China. Failure to comply with these rules can lead to a potential FTC enforcement action. Additionally, the Department of Justice recently finalized a rule implementing Executive Order 14117, which creates similar restrictions related to the transfer of sensitive U.S. data to countries such as China. These data transfer restrictions (and others that may pass in the future) may create operational challenges and legal risks for our business.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States are also active in creating specific rules relating to the processing of personal information. In 2018, California passed into law the California Consumer Privacy Act, or the CCPA, which took effect on January 1, 2020 and imposed many requirements on businesses that process the personal information of California residents. Many of the CCPA’s requirements are similar to those found in the European General Data Protection Regulation, or the GDPR, which is further described below,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November 2020, California voters passed a ballot initiative for the California Privacy Rights Act, 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the sole responsibility of which is to enforce the CPRA and other California privacy laws, which will further increase compliance risk. The provisions in the CPRA may apply to some of our business activities.</w:t>
      </w:r>
    </w:p>
    <w:p>
      <w:pPr>
        <w:spacing w:after="0" w:line="18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addition to California, at least eighteen other states have passed comprehensive privacy laws similar to the CCPA and CPRA. These laws are either in effect or will go into effect over the next few years.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during the 2024 legislative sessions that will go into effect in 2025 and beyond, including New Hampshire and New Jersey. Other states will be considering these laws in the future, and Congress has also been debating passing a federal privacy law. There are also states that are specifically regulating health information that may affect our business. For example, Washington state passed a health privacy law in 2023 that regulates the collection and sharing of health information, and the law also has a private right of action, which further increases the relevant compliance risk. Connecticut and Nevada have also passed similar laws regulating consumer health data, and more states are considering such legislation in 2025. These laws may impact our business activities, including our identification of research subjects, relationships with business partners and ultimately the marketing and distribution of our products.</w:t>
      </w:r>
    </w:p>
    <w:p>
      <w:pPr>
        <w:spacing w:after="0" w:line="17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p>
    <w:p>
      <w:pPr>
        <w:spacing w:after="0" w:line="18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EEA, and the processing of personal data that takes place in the EEA, is regulated by the GDPR, which went into effect in May 2018 and which imposes obligations on companies that operate in our industry with respect to the processing of personal data and the cross-border transfer of such data. The GDPR imposes onerous accountability obligations requiring data controllers and processors to maintain a record of their data processing and policies.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group of companies of the preceding financial year, whichever is higher, as well as compensation claims by affected individuals, negative publicity, reputational harm and a potential loss of business and goodwill.</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GDPR places restrictions on the cross-border transfer of personal data from the European Union to countries that have not been found by the European Commission to offer adequate data protection legislation. There are ongoing concerns about the ability of companies to transfer personal data from the European Union to other countries. In July 2020, the Court of Justice of the European Union, or the CJEU, invalidated the EU-U.S. Privacy Shield, one of the mechanisms used to legitimize the transfer of personal data from the EEA to the United States. The CJEU decision also drew into question the long-term viability of an alternative means of data transfer, the standard contractual clauses, for international transfers of personal data from the EEA. This CJEU decision resulted in increased scrutiny on data transfers and increased our costs of compliance with data privacy legislation as well as our costs of negotiating appropriate privacy and security agreements with our vendors and business partners.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October 2022, President Biden signed an executive order to implement the EU-U.S. Data Privacy Framework, which serves as a replacement to the EU-U.S. Privacy Shield. The European Commission adopted the adequacy decision on July 10, 2023. The adequacy decision permits U.S. companies who self-certify to the EU-U.S. Data Privacy Framework to rely on it as a valid data transfer mechanism for data transfers from the European Union to the United States.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our business. Following the withdrawal of the United Kingdom from the European Union, the UK Data Protection Act 2018 applies to the processing of personal data that takes place in the United Kingdom and includes parallel obligations to those set forth by GDPR. In relation to data transfers, both the United Kingdom and the European Union have determined, through separate “adequacy” decisions, that data transfers between the two jurisdictions are in compliance with the UK Data Protection Act and the GDPR, respectively. The United Kingdom and the United States have also agreed to a U.S.-UK “Data Bridge”, which functions similarly to the EU-U.S. Data Privacy Framework and provides an additional legal mechanism for companies to transfer data from the United Kingdom to the United States.</w:t>
      </w:r>
    </w:p>
    <w:p>
      <w:pPr>
        <w:spacing w:after="0" w:line="19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Switzerland has also approved an adequacy decision in relation to the Swiss-U.S. Data Privacy Framework (which functions similarly to the EU-U.S. Data Privacy Framework and the U.S.-UK Data Bridge in relation to data transfers from Switzerland to the United States). Any changes or updates to these developments have the potential to impact our business.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through increased compliance costs, costs associated with contracting and potential enforcement actions.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United States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collaborators and vendors may engage in misconduct or other improper activities, including non-compliance with regulatory standards and/or requirements and insider trading, which could cause significant liability for us and harm our reputation.</w:t>
      </w:r>
    </w:p>
    <w:p>
      <w:pPr>
        <w:spacing w:after="0" w:line="13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independent contractors, consultants, collaborators and vendors. Misconduct by these partners could include intentional, reckless and/or negligent conduct or unauthorized activities that violate FDA regulations or similar regulations of comparable foreign regulatory authorities; provide inaccurate information to the FDA or comparable foreign regulatory authorities; fail to comply with manufacturing standards, federal and state healthcare fraud and abuse laws and regulations and similar laws and regulations established and enforced by comparable foreign regulatory authorities; fail to comply with state drug pricing transparency filing requirements; fail to report financial information or data accurately; or fail to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laws, and requirements of foreign jurisdictions, including GDPR. We are also exposed to risks in connection with any insider trading violations by employees or others affiliated with us. It is not always possible to identify and deter employee or third-party misconduct, and the precautions we take to detect and prevent these activities may not be effective in controlling unknown or unmanaged risks or losses or in protecting us from significant penalties,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3" w:lineRule="exact"/>
        <w:rPr>
          <w:sz w:val="20"/>
          <w:szCs w:val="20"/>
          <w:color w:val="auto"/>
        </w:rPr>
      </w:pPr>
    </w:p>
    <w:p>
      <w:pPr>
        <w:ind w:right="7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environmental, health and safety laws and regulations, including those governing radiopharmaceutical products and radioactive materials, we could become subject to fines or penalties or incur costs that could have a material adverse effect on our business.</w:t>
      </w:r>
    </w:p>
    <w:p>
      <w:pPr>
        <w:spacing w:after="0" w:line="1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radiation safety regulations, including those governing laboratory procedures and the handling, use, storage, treatment, transportation and disposal of hazardous materials and wastes. Our operations involve the use, storage, treatment, and transportation of hazardous and flammable materials, including chemicals and biological and radioactive materials. While most of the activities are conducted by third party partners on our behalf or by pharmacists or healthcare professionals consistent with their own professional obligations on their own behalf, our operations also produce hazardous waste products and allow the decay of radioactive material (where legally allowed) on site prior to disposal as non-radioactive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Transportation of radioactive, biological, and/or hazardous materials is highly regulated by each governmental jurisdiction we operate in. Additionally, the physical transportation of these materials puts us at risk of vehicular accidents which could result in the loss of control of these materials and potential environmental and human health risks and related regulatory actions against us.</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use of facilities that use and produce radioactive materials subjects us to compliance with D&amp;D requirements when we close those facilities, exposing us to potentially significant costs. Our product candidates are manufactured using radioactive components. When a cyclotron reaches the end of its useful life at one of our facilities or if we need to abandon such facility for any other reason, we are obligated under the laws and regulatory rules of the various jurisdictions in which we operate to decommission and decontaminate such facility or cyclotron. Estimating the amount and timing of such future D&amp;D costs includes, among other factors, country-specific requirements and projections as to when a facility will retire or the useful life of a cyclotron. If we do not conduct D&amp;D properly at any of our sites, we may suffer significant additional costs to remediate any D&amp;D deficiencies, fines, regulatory or criminal charges or other sanction or legal action, any of which could have a material adverse effect upon our business, financial condition and results of operations. Although we have estimated our future D&amp;D costs and recorded a liability for such costs, there can be no assurances that we will not incur material D&amp;D costs beyond such estimates or our provisions.</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hazardous materials, including radioactive and biological materials, in our research and development efforts imposes certain compliance costs on us and may subject us to liability for claims arising from the use or misuse of these materials.</w:t>
      </w:r>
    </w:p>
    <w:p>
      <w:pPr>
        <w:spacing w:after="0" w:line="15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research, development and manufacturing activities involve the controlled use of hazardous materials, including chemicals, radioactive and biological materials, such as radioisotopes. We and our third-party manufacturers are subject to federal, state, local and foreign environmental laws and regulations governing, among other matters, the handling, storage, use, transportation and disposal of these materials and some waste products.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use of chemicals in the manufacturing process for our product candidates is also subject to chemicals approvals, registrations and regulations around the world, including a regulation in the European Union known as Registration, Evaluation, Authorisation and Restriction of Chemicals, and similar laws and regulations in certain other jurisdictions in which we operate. In addition, we are required to obtain and maintain a hazardous materials license, pursuant to which we are required to perform annual self-audits, and that may result in random inspections by regulators. If such audit or inspection were to result in adverse findings, it may impact our ability to maintain our license, which would in turn adversely affect our ability to conduct our business.</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Additionally, we cannot completely eliminate the risk of contamination or injury from these materials, and we could be held liable for any damages that result, which could exceed our financial resources. We currently maintain insurance coverage for injuries resulting from the hazardous materials we use; however, future claims may exceed the amount of our coverage. Also, we do not have insurance coverage for pollution cleanup and removal. Currently the costs of complying with such federal, state, local and foreign environmental regulations are not significant, and consist primarily of waste disposal expenses. However, they could become expensive, and current or future environmental laws or regulations may impair our research, development, production and commercialization efforts.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Although we intend to validate that any third-party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Comparable restrictions and related risks regarding the use of potentially hazardous substances are also applicable outside the United States. Compliance with applicable environmental laws and regulations is expensive, and current or future environmental regulations may impair our research, development and production efforts, which could harm our business, financial condition, results of operations and prospects.</w:t>
      </w:r>
    </w:p>
    <w:p>
      <w:pPr>
        <w:spacing w:after="0" w:line="18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international operations we may have in the future may preclude us from developing, manufacturing and selling certain products outside of the United States and require us to develop and implement costly compliance programs.</w:t>
      </w:r>
    </w:p>
    <w:p>
      <w:pPr>
        <w:spacing w:after="0" w:line="15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are subject to numerous laws and regulations in each jurisdiction outside of the United States in which we operate. The creation, implementation and maintenance of international business practices compliance programs is costly and such programs are difficult to enforce, particularly where reliance on third parties is required.</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U.S.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us to maintain books and records that accurately and fairly reflect all transactions of the corporation, including international subsidiaries, and to devise and maintain an adequate system of internal accounting controls. The FCPA is enforced by the DOJ and the SEC.</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clinics, universities and similar institutions are operated by the government, and doctors and other healthcare professionals are considered foreign officials. Certain payments to healthcare professionals in connection with clinical trials, regulatory approvals, sales and marketing, and other work have been deemed to be improper payments to government officials and have led to FCPA enforcement actions. Because the FCPA applies to indirect payments, the use of third parties and other collaborators can increase potential FCPA risk, as we could be held liable for the acts of third parties that do not comply with the FCPA’s requirements.</w:t>
      </w:r>
    </w:p>
    <w:p>
      <w:pPr>
        <w:spacing w:after="0" w:line="1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8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Like the FCPA, the Australian Criminal Code, the U.K. Bribery Act and other anti-corruption laws throughout the world similarly prohibit offers and payments made to obtain improper business advantages, including offers or payments to healthcare professionals and other government and non-government officials. These other anti-corruption laws also can result in substantial financial penalties and other collateral consequences.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drugs and product candidates outside of the United States, which could limit our growth potential and increase our development costs.</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particularly with respect to China, may adversely impact our business and operating results.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U.S. government has recently made statements and taken certain actions that may lead to potential changes to U.S. and international trade policies, including imposing several rounds of tariffs and export control restrictions affecting certain products manufactured in China. In March 2018, the Trump administration announced the imposition of tariffs on steel and aluminum entering the United States and in June 2018, the Trump administration announced further tariffs targeting goods imported from China. Recently both China and the United States have each imposed tariffs indicating the potential for further trade barriers, including the U.S. Commerce Department adding numerous Chinese entities to its “unverified list,” which requires U.S. exporters to go through more procedures before exporting goods to such entities. It is unknown whether and to what extent new tariffs, export controls, or other new laws or regulations will be adopted, or the effect that any such actions would have on us or our industry.</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some of our manufacturers and suppliers are located in China. Trade tensions and conflicts between the United States and China have been escalating in recent years and, as such, we are exposed to the possibility of product supply disruption and increased costs and expenses in the event of changes to the laws, rules, regulations and policies of the governments of the United States or China, or due to geopolitical unrest and unstable economic conditions. Certain Chinese biotechnology companies may become subject to trade restrictions, sanctions, other regulatory requirements or proposed legislation by the U.S. government, which could restrict or even prohibit our ability to work with such entities, thereby potentially disrupting their supply of material to us. For example, in February 2024, U.S. lawmakers called for investigations into and the imposition of possible economic sanctions against Chinese biotechnology companies WuXi AppTec and WuXi Biologics, or, collectively, WuXi, over alleged ties to the Chinese military. In addition, the recently proposed BIOSECURE Act introduced in the House of Representatives, as well as a substantially similar bill in the Senate, targets certain Chinese biotechnology companies. If these bills become law, or similar laws are passed, they would have the potential to severely restrict the ability of companies to contract with certain Chinese biotechnology companies of concern without losing the ability to contract with, or otherwise received funding from, the U.S. government. Such disruptions could have adverse effects on the development of our product candidates and our business operations.</w:t>
      </w:r>
    </w:p>
    <w:p>
      <w:pPr>
        <w:spacing w:after="0" w:line="1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Any unfavorable government policies on international trade, such as export controls, capital controls or tariffs, may increase the cost of manufacturing our product candidates and platform materials, affect the demand for our drug products (if and once approved), the competitive position of our product candidates, and import or export of raw materials and finished product candidate used in our and our collaborators’ preclinical studies and clinical trials, particularly with respect to any product candidates and materials that we import from China. If any new tariffs, export controls, legislation and/or regulations are implemented, or if existing trade agreements are renegotiated or, in particular, if either the U.S. or Chinese government takes retaliatory trade actions due to the recent trade tension, such changes could have an adverse effect on our business, financial condition and results of operations.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With the passage of the CREATES Act, we are exposed to possible litigation and damages by competitors who may claim that we are not providing sufficient quantities of our approved products on commercially reasonable, market-based terms for testing in support of their abbreviated new drug applications, or ANDAs, 505(b)(2) NDAs and biosimilar product applications.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December 2019, President Trump signed legislation intended to facilitate the development of generic and biosimilar products. The bill, previously known as the CREATES Act, authorizes sponsors of ANDAs, 505(b)(2) NDAs, or biosimilar product applications to file lawsuits against companies holding NDAs or BLAs that decline to provide sufficient quantities of an approved reference drug or biological product on commercially reasonable, market-based terms. Drug or biological products on FDA’s drug shortage list are exempt from these new provisions unless the product has been on the list for more than six continuous months or the FDA determines that the supply of the product will help alleviate or prevent a shortage.</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bring an action under the statute, the developer of a product candidate that seeks to develop the product and seek approval under an ANDA, 505(b)(2) NDA, or biosimilar product application must take certain steps to request the reference product from the reference product manufacturer, which, in the case of products covered by a REMS with elements to assure safe use, include obtaining authorization from the FDA for the acquisition of the reference product. If the reference product manufacturer does not provide the reference product and the ANDA, 505(b)(2) NDA, or biosimilar product sponsor does bring an action for failure to provide a reference product, there are certain affirmative defenses available to the reference product manufacturer, which must be shown by a preponderance of evidence, including that the NDA or BLA holder sells the reference product through agents, distributors, or wholesalers and has placed no restrictions, explicit or implicit, on selling the reference product to ANDA, 505(b)(2) or biosimilar sponsors. If the sponsor prevails in litigation, it is entitled to a court order directing the reference product manufacturer to provide, without delay, sufficient quantities of the applicable product on commercially reasonable, market-based terms, plus reasonable attorney fees and costs.</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Additionally, the new statutory provisions authorize a federal court to award the product developer an amount “sufficient to deter” the reference product manufacturer from refusing to provide sufficient product quantities on commercially reasonable, market-based terms, up to a certain maximum amount based on revenue earned while in noncompliance, if the court finds, by a preponderance of the evidence, that the reference product manufacturer did not have a legitimate business justification to delay providing the product or failed to comply with the court’s order. For the purposes of the statute, the term “commercially reasonable, market-based terms” is defined as (i) the nondiscriminatory price at or below the most recent wholesale acquisition cost for the product, (ii) a delivery schedule that meets the statutorily defined timetable, and (iii) no additional conditions on the sale.</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Although we intend to comply fully with the terms of these statutory provisions, we are still exposed to potential litigation and damages by competitors who may claim that we are not providing sufficient quantities of our approved products on commercially reasonable, market-based terms for testing in support of ANDAs, 505(b)(2) NDA applications or biosimilar product applications. Such litigation would subject us to additional litigation costs, damages and reputational harm, which could lead to lower revenues. The CREATES Act may facilitate future competition with Illuccix and any of our product candidates, if approved, which could impact our ability to maximize product revenue.</w:t>
      </w:r>
    </w:p>
    <w:p>
      <w:pPr>
        <w:spacing w:after="0" w:line="17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governmental economic and trade sanctions and export and import controls that could impair our or our collaborators’ ability to compete in international markets due to licensing requirements and subject us or them to liability if we or they are not in compliance with applicable laws.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products are subject to international, national and state export control and import laws and regulations, including the U.S. Export Administration Regulations, U.S. Customs regulations, and we are required to comply with these laws as well as various economic and trade sanctions, including those administered by the U.S. Treasury Department’s Office of Foreign Assets Controls. These laws and regulations restrict our ability to transact or deal with certain countries, regions, governments, persons and entities. Our activities, including our procurement of materials and exports of our products, must be in compliance with these laws and regulations. While we have policies and procedures designed to ensure that we maintain compliance with these laws and regulations, there is a risk that our employees, agents, or business partners may take actions in violation of our policies and applicable law, for which we may be ultimately held responsible.</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If we fail to comply with these laws and regulations, we and certain of our employees could be subject to substantial civil or criminal penalties, including the possible loss of export or import privileges; fines, which may be imposed on us or our collaborators and the respective responsible employees or managers; and, in extreme cases, the incarceration of responsible employees or managers. Investigations of alleged violations can be expensive and disruptive, and such violation (or allegation of a violation) could materially adversely affect our reputation, business, financial condition and results of operations.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changes in our products or changes in applicable export or import laws and regulations may create delays in the introduction, provision, or sale of our products in international markets, prevent customers from using our products or, in some cases, prevent the export or import of our products to certain countries, governments or persons altogether. Any limitation on our ability to export, provide, or sell our products could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collaborations with third parties for certain aspects of the development, marketing and/or commercialization of Illuccix and our product candidates. If those collaborations are not successful, or if we are not able to maintain our existing collaborations or establish additional collaborations, we may have to alter our development and commercialization plans and may not be able to capitalize on the market potential of Illuccix or our product candidates.</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product development programs and the commercialization of our products and product candidates, if approved, require local expertise and substantial additional cash to fund expenses. We expect to maintain our existing collaborations and collaborate with additional pharmaceutical and biotechnology companies for certain aspects of the development, marketing and/or commercialization of our products and product candidates. For example, we expect to rely on additional partners to develop and commercialize our products outside of the United States, including our ongoing partnership with Grand Pharmaceutical Group Limited, or Grand Pharma, for our imaging and therapeutic product candidates in Greater China. In addition, we intend to utilize collaborators to aid in the further development, marketing and/or commercialization of our product candidates as well, including our collaboration with Merck KGaA for clinical trials of TLX250. We also have a license agreement with Eli Lilly and Company Ltd, or Lilly, for the exclusive worldwide rights to develop and commercialize radiolabeled forms of olaratumab together with our linker and our other proprietary licensed technology, for the diagnosis and treatment of human cancers.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Potential collaborators include large and mid-size pharmaceutical companies, regional and national pharmaceutical companies and biotechnology companies and we face significant competition in seeking appropriate collaborators, including as a result of a significant number of recent business combinations among large pharmaceutical companies that have reduced the number of potential collaborators. Whether we reach a definitive agreement for a collaboration will depend, among other things, upon the assessment of the potential collaborator’s expertise, its current and expected resources and competing priorities, the terms and conditions of the proposed collaboration and the proposed collaborator’s evaluation of a number of factors. Those factors may include the design or results of clinical trials, the likelihood of approval by the FDA or foreign regulatory authorities, the potential market for the product or product candidate, the costs and complexities of manufacturing and delivering such product or product candidate to patients, the potential of competing products, the existence of uncertainty with respect to our ownership of intellectual property, which can exist if there is a challenge to such ownership without regard to the merits of the challenge, and industry and market conditions generally. A potential collaborator may also consider alternative product candidates or technologies for similar indications that may be available to collaborate on and whether such a collaboration could be more attractive than the one with us.</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Collaborations are complex and time-consuming to negotiate, document and manage. We may not be able to negotiate collaborations on a timely basis, on acceptable terms, or at all, or we may be restricted under then-existing collaboration agreements from entering into future agreements on certain terms with potential collaborators. If we are unable to maintain our current collaboration agreements or enter into new collaboration agreements, we may have to curtail, reduce or delay the development or commercialization programs for our products or product candidates, or increase our expenditures and undertake development or commercialization activities at our own expense. If we elect to increase our expenditures to fund and undertake development or commercialization activities on our own, we may need to obtain additional expertise and additional capital, which may not be available to us on acceptable terms, or at all. If we do not have sufficient funds or expertise to undertake the necessary development and commercialization activities, we may not be able to further develop our product candidates or bring them to market and generate product revenue.</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ability to generate revenues from these arrangements will depend on our collaborators’ abilities to successfully perform the functions assigned to them in these arrangements, and our collaboration agreements may not lead to the development or commercialization of our products or product candidates in the most efficient manner, or at all, and may result in lower product revenues or profitability to us than if we were to market and sell these products ourselves.</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connection with any such arrangements with third parties, we will likely have limited control over the amount and timing of resources that our collaborators dedicate to the development, marketing and/or commercialization of our products or product candidates. Further, if our collaborations do not result in the successful development and commercialization of our products or product candidates or if any one of our collaborators terminates its agreement with us, we may not receive any future milestone or royalty payments under the collaboration. If we do not receive the funding we expect under these agreements, the development and commercialization of our products or product candidates could be delayed and we may need additional resources to develop product candidates.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involving our products and product candidates pose the following risks to us:</w:t>
      </w:r>
    </w:p>
    <w:p>
      <w:pPr>
        <w:spacing w:after="0" w:line="225" w:lineRule="exact"/>
        <w:rPr>
          <w:sz w:val="20"/>
          <w:szCs w:val="20"/>
          <w:color w:val="auto"/>
        </w:rPr>
      </w:pPr>
    </w:p>
    <w:p>
      <w:pPr>
        <w:ind w:left="340" w:hanging="238"/>
        <w:spacing w:after="0"/>
        <w:tabs>
          <w:tab w:leader="none" w:pos="340" w:val="left"/>
        </w:tabs>
        <w:numPr>
          <w:ilvl w:val="0"/>
          <w:numId w:val="5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collaborators may not perform their obligations as expected or in compliance with applicable local and national laws and regulatory requirements;</w:t>
      </w:r>
    </w:p>
    <w:p>
      <w:pPr>
        <w:spacing w:after="0" w:line="9" w:lineRule="exact"/>
        <w:rPr>
          <w:rFonts w:ascii="Times New Roman" w:cs="Times New Roman" w:eastAsia="Times New Roman" w:hAnsi="Times New Roman"/>
          <w:sz w:val="18"/>
          <w:szCs w:val="18"/>
          <w:color w:val="0A2E94"/>
        </w:rPr>
      </w:pPr>
    </w:p>
    <w:p>
      <w:pPr>
        <w:ind w:left="340" w:right="60" w:hanging="238"/>
        <w:spacing w:after="0" w:line="250" w:lineRule="auto"/>
        <w:tabs>
          <w:tab w:leader="none" w:pos="340" w:val="left"/>
        </w:tabs>
        <w:numPr>
          <w:ilvl w:val="0"/>
          <w:numId w:val="5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collaborators may de-emphasize or may not pursue development, marketing and/or commercialization of our products or product candidates or may elect not to continue or renew development, marketing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1" w:lineRule="exact"/>
        <w:rPr>
          <w:rFonts w:ascii="Times New Roman" w:cs="Times New Roman" w:eastAsia="Times New Roman" w:hAnsi="Times New Roman"/>
          <w:sz w:val="18"/>
          <w:szCs w:val="18"/>
          <w:color w:val="0A2E94"/>
        </w:rPr>
      </w:pPr>
    </w:p>
    <w:p>
      <w:pPr>
        <w:ind w:left="340" w:hanging="238"/>
        <w:spacing w:after="0" w:line="250" w:lineRule="auto"/>
        <w:tabs>
          <w:tab w:leader="none" w:pos="340" w:val="left"/>
        </w:tabs>
        <w:numPr>
          <w:ilvl w:val="0"/>
          <w:numId w:val="5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ind w:left="340" w:right="260" w:hanging="238"/>
        <w:spacing w:after="0" w:line="250" w:lineRule="auto"/>
        <w:tabs>
          <w:tab w:leader="none" w:pos="340" w:val="left"/>
        </w:tabs>
        <w:numPr>
          <w:ilvl w:val="0"/>
          <w:numId w:val="5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 w:lineRule="exact"/>
        <w:rPr>
          <w:rFonts w:ascii="Times New Roman" w:cs="Times New Roman" w:eastAsia="Times New Roman" w:hAnsi="Times New Roman"/>
          <w:sz w:val="18"/>
          <w:szCs w:val="18"/>
          <w:color w:val="0A2E94"/>
        </w:rPr>
      </w:pPr>
    </w:p>
    <w:p>
      <w:pPr>
        <w:ind w:left="340" w:right="640" w:hanging="238"/>
        <w:spacing w:after="0" w:line="250" w:lineRule="auto"/>
        <w:tabs>
          <w:tab w:leader="none" w:pos="340" w:val="left"/>
        </w:tabs>
        <w:numPr>
          <w:ilvl w:val="0"/>
          <w:numId w:val="5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 collaborator with marketing and distribution rights to one or more products or product candidates may not commit sufficient resources to the marketing and distribution of our products or product candidates;</w:t>
      </w:r>
    </w:p>
    <w:p>
      <w:pPr>
        <w:ind w:left="340" w:right="20" w:hanging="238"/>
        <w:spacing w:after="0" w:line="250" w:lineRule="auto"/>
        <w:tabs>
          <w:tab w:leader="none" w:pos="340" w:val="left"/>
        </w:tabs>
        <w:numPr>
          <w:ilvl w:val="0"/>
          <w:numId w:val="5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or commercialization, might cause delays or termination of the research, development or commercialization of products or product candidates, might lead to additional responsibilities for us with respect to our products or product candidates, or might result in litigation or arbitration, any of which would be time-consuming and expensive;</w:t>
      </w:r>
    </w:p>
    <w:p>
      <w:pPr>
        <w:spacing w:after="0" w:line="1" w:lineRule="exact"/>
        <w:rPr>
          <w:rFonts w:ascii="Times New Roman" w:cs="Times New Roman" w:eastAsia="Times New Roman" w:hAnsi="Times New Roman"/>
          <w:sz w:val="18"/>
          <w:szCs w:val="18"/>
          <w:color w:val="0A2E94"/>
        </w:rPr>
      </w:pPr>
    </w:p>
    <w:p>
      <w:pPr>
        <w:ind w:left="340" w:hanging="238"/>
        <w:spacing w:after="0" w:line="250" w:lineRule="auto"/>
        <w:tabs>
          <w:tab w:leader="none" w:pos="340" w:val="left"/>
        </w:tabs>
        <w:numPr>
          <w:ilvl w:val="0"/>
          <w:numId w:val="5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ind w:left="340" w:hanging="238"/>
        <w:spacing w:after="0"/>
        <w:tabs>
          <w:tab w:leader="none" w:pos="340" w:val="left"/>
        </w:tabs>
        <w:numPr>
          <w:ilvl w:val="0"/>
          <w:numId w:val="5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9" w:lineRule="exact"/>
        <w:rPr>
          <w:rFonts w:ascii="Times New Roman" w:cs="Times New Roman" w:eastAsia="Times New Roman" w:hAnsi="Times New Roman"/>
          <w:sz w:val="18"/>
          <w:szCs w:val="18"/>
          <w:color w:val="0A2E94"/>
        </w:rPr>
      </w:pPr>
    </w:p>
    <w:p>
      <w:pPr>
        <w:ind w:left="340" w:right="40" w:hanging="238"/>
        <w:spacing w:after="0" w:line="250" w:lineRule="auto"/>
        <w:tabs>
          <w:tab w:leader="none" w:pos="340" w:val="left"/>
        </w:tabs>
        <w:numPr>
          <w:ilvl w:val="0"/>
          <w:numId w:val="5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may lose certain valuable rights under circumstances identified in any collaboration arrangement that we enter into, such as if we undergo a change of control;</w:t>
      </w:r>
    </w:p>
    <w:p>
      <w:pPr>
        <w:ind w:left="340" w:right="540" w:hanging="238"/>
        <w:spacing w:after="0" w:line="250" w:lineRule="auto"/>
        <w:tabs>
          <w:tab w:leader="none" w:pos="340" w:val="left"/>
        </w:tabs>
        <w:numPr>
          <w:ilvl w:val="0"/>
          <w:numId w:val="5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marketing and/or commercialization of the applicable products or product candidates or to enter into new collaboration agreements;</w:t>
      </w:r>
    </w:p>
    <w:p>
      <w:pPr>
        <w:ind w:left="340" w:hanging="238"/>
        <w:spacing w:after="0"/>
        <w:tabs>
          <w:tab w:leader="none" w:pos="340" w:val="left"/>
        </w:tabs>
        <w:numPr>
          <w:ilvl w:val="0"/>
          <w:numId w:val="5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collaborators may learn about our discoveries and use this knowledge to compete with us in the future;</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number and type of our collaborations could adversely affect our attractiveness to other collaborators or acquirers.</w:t>
      </w:r>
    </w:p>
    <w:p>
      <w:pPr>
        <w:spacing w:after="0" w:line="20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If any of these events occurs, the market potential of our products and product candidates, if approved, could be reduced, and our business could be materially harmed.</w:t>
      </w:r>
    </w:p>
    <w:p>
      <w:pPr>
        <w:spacing w:after="0" w:line="1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our agreements with third parties to distribute Illuccix to patients, our results of operations and business could be adversely affected.</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on third parties to commercially distribute Illuccix to patients. For example, we have contracted with a distribution network of specialty pharmacies, which sell Illuccix directly to patients, and specialty distributors, which sell Illuccix to healthcare entities who then resell Illuccix to patients. While we have entered into agreements with each of these pharmacies and distributors to distribute Illuccix in the United States, they may not perform as agreed or they may terminate their agreements with us. We may also need to enter into agreements with additional pharmacies or distributors, and there is no guarantee that we will be able to do so on a timely basis, at commercially reasonable terms, or at all. If we are unable to maintain and, if needed, expand, our network of specialty pharmacies and specialty distributors, we would be exposed to substantial distribution risk. In addition, and particularly as we expand into less-mature markets or into countries where corruption may be more prevalent, we will need to conduct robust due diligence with third-party collaboration partners to best ensure that Illuccix and our other products are able to be manufactured, compounded, or distributed on a timely basis that complies will all applicable laws, regulations, and rules, including but not limited to, those that deal with anti-corruption, anti-kickback, marketing authorization and distribution of pharmaceutical products, the environment, and the safe use of the products with patients.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 of specialty pharmacies and specialty distributors involves certain risks, including, but not limited to, risks that these organizations will:</w:t>
      </w:r>
    </w:p>
    <w:p>
      <w:pPr>
        <w:spacing w:after="0" w:line="225" w:lineRule="exact"/>
        <w:rPr>
          <w:sz w:val="20"/>
          <w:szCs w:val="20"/>
          <w:color w:val="auto"/>
        </w:rPr>
      </w:pPr>
    </w:p>
    <w:p>
      <w:pPr>
        <w:ind w:left="340" w:right="240" w:hanging="238"/>
        <w:spacing w:after="0" w:line="261" w:lineRule="auto"/>
        <w:tabs>
          <w:tab w:leader="none" w:pos="340" w:val="left"/>
        </w:tabs>
        <w:numPr>
          <w:ilvl w:val="0"/>
          <w:numId w:val="5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not provide us accurate or timely information regarding their inventories, the number of patients who are using Illuccix or serious adverse reactions, events and/or product complaints regarding Illuccix;</w:t>
      </w:r>
    </w:p>
    <w:p>
      <w:pPr>
        <w:ind w:left="340" w:hanging="238"/>
        <w:spacing w:after="0"/>
        <w:tabs>
          <w:tab w:leader="none" w:pos="340" w:val="left"/>
        </w:tabs>
        <w:numPr>
          <w:ilvl w:val="0"/>
          <w:numId w:val="5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not effectively sell or support Illuccix or communicate publicly concerning Illuccix in a manner that is contrary to FDA rules and regulations;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reduce their efforts or discontinue to sell or support, or otherwise not effectively sell or support, Illuccix;</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not devote the resources necessary to sell Illuccix in the volumes and within the time frames that we expect;</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be unable to satisfy financial obligations to us or others;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not be able to obtain or maintain all necessary licenses; or</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cease operations.</w:t>
      </w:r>
    </w:p>
    <w:p>
      <w:pPr>
        <w:spacing w:after="0" w:line="20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Any such risks may apply to future products we develop, and such events may result in decreased product sales, which would harm our results of operations and business.</w:t>
      </w:r>
    </w:p>
    <w:p>
      <w:pPr>
        <w:spacing w:after="0" w:line="15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as we conduct our clinical trials and some aspects of our research and preclinical studies, and those third parties may not perform satisfactorily, including failing to meet deadlines for the completion of such trials, research or testing.</w:t>
      </w:r>
    </w:p>
    <w:p>
      <w:pPr>
        <w:spacing w:after="0" w:line="15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rely on third parties, such as strategic partners, CROs, clinical data management organizations, medical institutions and clinical investigators, as we conduct our clinical trials. For example, in China, we are conducting a Phase 3 study of TLX591-CDx (the same compound approved in the United States as Illuccix) in collaboration with our strategic partner for the Greater China region, Grand Pharma, and we aim for this study to support future marketing authorization applications for Illuccix in China. We also currently rely and expect to continue to rely on third parties to conduct some aspects of our research and preclinical studies. Any of these third parties may terminate their engagements with us at any time in accordance with agreements or applicable laws. If we need to enter into alternative arrangements, our product development activities may be delayed.</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 standards when conducting, recording and reporting the results of clinical trials to ensure that data and reported results are credible and accurate and that the rights, integrity and confidentiality of trial participants are protected. The EMA and TGA also require us to comply with comparable standards. Regulatory authorities ensure compliance with these requirements through periodic inspections of trial sponsors, principal investigators and trial sites. If we or any of the third parties that we rely on in connection with our clinical trials fail to comply with applicable requirements, the clinical data generated in our clinical trials may be deemed unreliable and the FDA, EMA or other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such requirements. We also are required to register ongoing clinical trials and post the results of completed clinical trials on a government-sponsored database, such as ClinicalTrials.gov, within certain timeframes. Failure to do so can result in fines, adverse publicity and civil and criminal sanctions.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approvals for our product candidates and will not be able to, or may be delayed in our efforts to, successfully commercialize our products. In such an event, our financial results and the commercial prospects for our products or product candidates, if approved, could be harmed, our costs could increase and our ability to generate revenues could be delayed, impaired or foreclosed.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product supplies for our clinical trials. Any performance failure on the part of such third parties could delay clinical development or regulatory approval of our product candidates or commercialization of our products, producing additional losses and depriving us of potential product revenue.</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as discussed above, the third parties upon whom we rely to conduct our clinical trials could be negatively impacted as a result of disruptions caused by pandemics or epidemics including difficulties in initiating clinical sites or enrolling participants, travel or quarantine policies, and other factors, including ongoing and future environmental or geopolitical concerns. If these third parties are so affected, our business prospects and results of operations could be severely adversely impacted.</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investigator-sponsored clinical trials of our product candidates. Any failure by a third party to meet its obligations with respect to the clinical development of our product candidates may delay or impair our ability to obtain regulatory approval for our product candidates.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partly rely on academic and private non-academic institutions to conduct and sponsor clinical trials relating to our product candidates. We do not control the design or conduct of the investigator-sponsored trials, and it is possible that the FDA or foreign regulatory authorities will not view these investigator-sponsored trials as providing adequate support for future clinical trials, whether controlled by us or third parties, for any one or more reasons, including elements of the design, execution of the trials, safety concerns or other trial results.</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Such arrangements will provide us certain information rights with respect to the investigator-sponsored trials, such as access to and the ability to use and reference the data resulting from the investigator-sponsored trials, including for our own regulatory submissions and marketing authorization applications. However, we do not have control over the timing for patient recruitment and reporting of the data from investigator-sponsored trials, nor do we own the data from the investigator-sponsored trials. If we are unable to confirm or replicate the results from investigator-sponsored trials or if negative results are obtained, we would likely be further delayed or prevented from advancing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rely on the data from the investigator-sponsored trials in our clinical development plans may be adversely affected.</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Additionally, the FDA or foreign regulatory authorities may disagree with the sufficiency of our right to reference the preclinical, manufacturing or clinical data generated by these investigator-sponsored trials, our right for exclusive commercial use of the data or our interpretation of preclinical, manufacturing or clinical data from these investigator-sponsored trials. If so, the FDA or foreign regulatory authorities may require us to obtain and submit additional preclinical, manufacturing, or clinical data before we may initiate our planned trials and/or may not accept such additional data as adequate to initiate our planned trials.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dependent on third parties for the manufacture, distribution and patient dose preparation of our products and product candidates and any difficulties, disruptions, delays or unexpected costs, or the need to find alternative sources, could adversely affect our results of operations, profitability and future business prospects.</w:t>
      </w:r>
    </w:p>
    <w:p>
      <w:pPr>
        <w:spacing w:after="0" w:line="17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While we have acquired some laboratory capability with Optimal Tracers in Sacramento, IsoTherapeutics in Angleton, and the facility purchased from ImaginAb, Inc. in Los Angeles, and completed Stage 1 of the buildout of our European manufacturing site in Brussels South, which is operational for selected research and development activities, we currently rely, and expect to continue to rely, on third-party contract manufacturers to manufacture our products and product candidates for our commercial and clinical use.</w:t>
      </w:r>
    </w:p>
    <w:p>
      <w:pPr>
        <w:spacing w:after="0" w:line="18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Facilities used by our third-party manufacturers may be inspected by the FDA or applicable foreign regulatory authorities after we submit a marketing application and before potential approval of the product candidate and are also subject to ongoing periodic unannounced inspections by the FDA or applicable foreign regulatory authorities for compliance with cGMPs (or similar foreign requirements) and other regulatory requirements following approval. Similar regulations apply to manufacturers of our product candidates for use or sale in foreign countries. We do not control the manufacturing processes of, and are completely dependent on, our third-party manufacturers for compliance with the applicable regulatory requirements for the manufacture of our products and product candidates. Third-party manufacturers may not be able to comply with cGMPs or similar regulatory requirements outside of the United States. If our manufacturers cannot successfully manufacture material that conforms to our specifications and the strict regulatory requirements of the FDA and any applicable foreign regulatory authority, they will not be able to secure and/or maintain regulatory approval for their manufacturing facilities. If these facilities are not approved for commercial manufacture or are not able to maintain approval, we may need to find alternative manufacturing facilities, which could significantly impact our ability to develop, obtain regulatory approval for or market our products or product candidates as alternative qualified manufacturing facilities may not be available on a timely or cost-efficient basis, or at all. Failure by any of our manufacturers to comply with applicable cGMPs (and similar foreign requirements) or other regulatory requirements could result in sanctions being imposed on us or the contract manufacturer, including fines, injunctions, civil penalties, delays, suspensions or withdrawals of approvals, operating restrictions, interruptions in supply and criminal prosecutions, any of which could significantly and adversely affect supplies of our products or product candidates and have a material adverse impact on our business, financial condition and results of operations.</w:t>
      </w:r>
    </w:p>
    <w:p>
      <w:pPr>
        <w:spacing w:after="0" w:line="19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currently have long-term supply agreements with our third-party contract manufacturers to manufacture the clinical and commercial supplies of Illuccix and for our product candidates. Our ability to have our products manufactured in sufficient quantities and at acceptable costs to meet our commercial demand and clinical development needs is dependent on the uninterrupted and efficient operation of our third-party contract manufacturers’ facilities. Reliance on third-party manufacturers entails risks, including:</w:t>
      </w:r>
    </w:p>
    <w:p>
      <w:pPr>
        <w:spacing w:after="0" w:line="180" w:lineRule="exact"/>
        <w:rPr>
          <w:sz w:val="20"/>
          <w:szCs w:val="20"/>
          <w:color w:val="auto"/>
        </w:rPr>
      </w:pPr>
    </w:p>
    <w:p>
      <w:pPr>
        <w:ind w:left="340" w:hanging="238"/>
        <w:spacing w:after="0"/>
        <w:tabs>
          <w:tab w:leader="none" w:pos="340" w:val="left"/>
        </w:tabs>
        <w:numPr>
          <w:ilvl w:val="0"/>
          <w:numId w:val="5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reliance on the third party for regulatory compliance and quality assurance;</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possible breach, termination or nonrenewal of a manufacturing agreement by the third party, including at a time that is costly or inconvenient to us;</w:t>
      </w:r>
    </w:p>
    <w:p>
      <w:pPr>
        <w:spacing w:after="0" w:line="9" w:lineRule="exact"/>
        <w:rPr>
          <w:rFonts w:ascii="Times New Roman" w:cs="Times New Roman" w:eastAsia="Times New Roman" w:hAnsi="Times New Roman"/>
          <w:sz w:val="18"/>
          <w:szCs w:val="18"/>
          <w:color w:val="0A2E94"/>
        </w:rPr>
      </w:pPr>
    </w:p>
    <w:p>
      <w:pPr>
        <w:jc w:val="both"/>
        <w:ind w:left="340" w:right="40" w:hanging="238"/>
        <w:spacing w:after="0" w:line="250" w:lineRule="auto"/>
        <w:tabs>
          <w:tab w:leader="none" w:pos="340" w:val="left"/>
        </w:tabs>
        <w:numPr>
          <w:ilvl w:val="0"/>
          <w:numId w:val="5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possible failure of the third party to manufacture Illuccix or our product candidates according to our schedule, or at all, including if the third-party manufacturer gives greater priority to the supply of other products over Illuccix or our product candidates, or otherwise does not satisfactorily perform according to the terms of the manufacturing agreement;</w:t>
      </w:r>
    </w:p>
    <w:p>
      <w:pPr>
        <w:spacing w:after="0" w:line="1" w:lineRule="exact"/>
        <w:rPr>
          <w:rFonts w:ascii="Times New Roman" w:cs="Times New Roman" w:eastAsia="Times New Roman" w:hAnsi="Times New Roman"/>
          <w:sz w:val="18"/>
          <w:szCs w:val="18"/>
          <w:color w:val="0A2E94"/>
        </w:rPr>
      </w:pPr>
    </w:p>
    <w:p>
      <w:pPr>
        <w:ind w:left="340" w:right="260" w:hanging="238"/>
        <w:spacing w:after="0" w:line="250" w:lineRule="auto"/>
        <w:tabs>
          <w:tab w:leader="none" w:pos="340" w:val="left"/>
        </w:tabs>
        <w:numPr>
          <w:ilvl w:val="0"/>
          <w:numId w:val="5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equipment malfunctions, power outages or other general disruptions experienced by our third-party manufacturers or distributors to their respective operations and other general problems with a multi-step manufacturing or distribution process;</w:t>
      </w:r>
    </w:p>
    <w:p>
      <w:pPr>
        <w:ind w:left="340" w:right="140" w:hanging="238"/>
        <w:spacing w:after="0" w:line="250" w:lineRule="auto"/>
        <w:tabs>
          <w:tab w:leader="none" w:pos="340" w:val="left"/>
        </w:tabs>
        <w:numPr>
          <w:ilvl w:val="0"/>
          <w:numId w:val="5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possible disruptions to supply chain and logistics processes that are required to store, transport, and deliver our products to customers that require timely delivery given the need to inject a dose of our products within a specific window of radioactivity; and</w:t>
      </w:r>
    </w:p>
    <w:p>
      <w:pPr>
        <w:ind w:left="340" w:hanging="238"/>
        <w:spacing w:after="0"/>
        <w:tabs>
          <w:tab w:leader="none" w:pos="340" w:val="left"/>
        </w:tabs>
        <w:numPr>
          <w:ilvl w:val="0"/>
          <w:numId w:val="5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possible misappropriation or disclosure by the third party or others of our proprietary information, including our trade secrets and know-how.</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currently rely on a single source supplier for our active pharmaceutical ingredient for Illuccix and our related product manufacturing requirements, although additional sources and back-up suppliers are being validated and implemented. Any performance failure on the part of our existing or future manufacturers could delay clinical development, regulatory approval or commercialization of our product candidates. If our suppliers or contract manufacturers are so affected, our supply chain could be disrupted, our product shipments could be delayed, our costs could be increased and our business could be adversely affected. If our current contract manufacturers cannot perform as agreed, we may be required to replace those manufacturers. Although we believe that there are several potential alternative manufacturers who could manufacture Illuccix or our product candidates, we could incur added costs and delays in identifying and qualifying any such replacement. Consequently, we may not be able to reach agreement with third-party manufacturers on satisfactory terms, which could negatively impact revenues from sales of Illuccix or delay commercialization of any product candidates that are subsequently approved.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because of the factors discussed above, we are unable to have Illuccix or our product candidates manufactured on a timely or sufficient basis, we may not be able to meet clinical development needs or commercial demand for Illuccix or our product candidates or we may not be able to manufacture Illuccix or our product candidates in a cost-effective manner. As a result, we may lose sales, fail to generate projected revenues or suffer development or regulatory setbacks, any of which could have an adverse impact on our profitability and future business prospects.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party to and may seek to enter into additional collaborations, licenses and other similar arrangements and may not be successful in maintaining existing arrangements or entering into new ones, and even if we are, we may not realize the benefits of such relationships.</w:t>
      </w:r>
    </w:p>
    <w:p>
      <w:pPr>
        <w:spacing w:after="0" w:line="15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are currently parties to license and collaboration agreements with a number of pharmaceutical companies and universities and expect to enter into additional agreements as part of our business strategy. The success of our current and any future collaboration arrangements will depend heavily on the efforts and activities of our collaborators. Collaborations are subject to numerous risks, which may include risks that:</w:t>
      </w:r>
    </w:p>
    <w:p>
      <w:pPr>
        <w:spacing w:after="0" w:line="176" w:lineRule="exact"/>
        <w:rPr>
          <w:sz w:val="20"/>
          <w:szCs w:val="20"/>
          <w:color w:val="auto"/>
        </w:rPr>
      </w:pPr>
    </w:p>
    <w:p>
      <w:pPr>
        <w:ind w:left="340" w:hanging="238"/>
        <w:spacing w:after="0"/>
        <w:tabs>
          <w:tab w:leader="none" w:pos="340" w:val="left"/>
        </w:tabs>
        <w:numPr>
          <w:ilvl w:val="0"/>
          <w:numId w:val="5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may not be able to enter into critical strategic collaborations or enter into them on favorable terms;</w:t>
      </w:r>
    </w:p>
    <w:p>
      <w:pPr>
        <w:spacing w:after="0" w:line="27" w:lineRule="exact"/>
        <w:rPr>
          <w:rFonts w:ascii="Times New Roman" w:cs="Times New Roman" w:eastAsia="Times New Roman" w:hAnsi="Times New Roman"/>
          <w:sz w:val="18"/>
          <w:szCs w:val="18"/>
          <w:color w:val="0A2E94"/>
        </w:rPr>
      </w:pPr>
    </w:p>
    <w:p>
      <w:pPr>
        <w:ind w:left="340" w:right="100" w:hanging="238"/>
        <w:spacing w:after="0" w:line="250" w:lineRule="auto"/>
        <w:tabs>
          <w:tab w:leader="none" w:pos="340" w:val="left"/>
        </w:tabs>
        <w:numPr>
          <w:ilvl w:val="0"/>
          <w:numId w:val="5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collaborators may have significant discretion in determining the efforts and resources that they will apply to collaborations, and they may not perform their obligations as agreed, expected, or in compliance with applicable legal requirements;</w:t>
      </w:r>
    </w:p>
    <w:p>
      <w:pPr>
        <w:ind w:left="340" w:right="40" w:hanging="238"/>
        <w:spacing w:after="0" w:line="250" w:lineRule="auto"/>
        <w:tabs>
          <w:tab w:leader="none" w:pos="340" w:val="left"/>
        </w:tabs>
        <w:numPr>
          <w:ilvl w:val="0"/>
          <w:numId w:val="5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clinical trial results, changes in their strategic focus due to their acquisition of competitive products or their internal development of competitive products, availability of funding or other external factors, such as a business combination that diverts resources or creates competing priorities;</w:t>
      </w:r>
    </w:p>
    <w:p>
      <w:pPr>
        <w:spacing w:after="0" w:line="1" w:lineRule="exact"/>
        <w:rPr>
          <w:rFonts w:ascii="Times New Roman" w:cs="Times New Roman" w:eastAsia="Times New Roman" w:hAnsi="Times New Roman"/>
          <w:sz w:val="18"/>
          <w:szCs w:val="18"/>
          <w:color w:val="0A2E94"/>
        </w:rPr>
      </w:pPr>
    </w:p>
    <w:p>
      <w:pPr>
        <w:ind w:left="340" w:right="40" w:hanging="238"/>
        <w:spacing w:after="0" w:line="250" w:lineRule="auto"/>
        <w:tabs>
          <w:tab w:leader="none" w:pos="340" w:val="left"/>
        </w:tabs>
        <w:numPr>
          <w:ilvl w:val="0"/>
          <w:numId w:val="5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abandon a product candidate, repeat or conduct new clinical trials or require a new formulation of a product candidate for clinical testing;</w:t>
      </w:r>
    </w:p>
    <w:p>
      <w:pPr>
        <w:ind w:left="340" w:right="260" w:hanging="238"/>
        <w:spacing w:after="0" w:line="250" w:lineRule="auto"/>
        <w:tabs>
          <w:tab w:leader="none" w:pos="340" w:val="left"/>
        </w:tabs>
        <w:numPr>
          <w:ilvl w:val="0"/>
          <w:numId w:val="5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 product candidates;</w:t>
      </w:r>
    </w:p>
    <w:p>
      <w:pPr>
        <w:spacing w:after="0" w:line="1" w:lineRule="exact"/>
        <w:rPr>
          <w:rFonts w:ascii="Times New Roman" w:cs="Times New Roman" w:eastAsia="Times New Roman" w:hAnsi="Times New Roman"/>
          <w:sz w:val="18"/>
          <w:szCs w:val="18"/>
          <w:color w:val="0A2E94"/>
        </w:rPr>
      </w:pPr>
    </w:p>
    <w:p>
      <w:pPr>
        <w:ind w:left="340" w:right="160" w:hanging="238"/>
        <w:spacing w:after="0" w:line="250" w:lineRule="auto"/>
        <w:tabs>
          <w:tab w:leader="none" w:pos="340" w:val="left"/>
        </w:tabs>
        <w:numPr>
          <w:ilvl w:val="0"/>
          <w:numId w:val="5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ind w:left="340" w:hanging="238"/>
        <w:spacing w:after="0"/>
        <w:tabs>
          <w:tab w:leader="none" w:pos="340" w:val="left"/>
        </w:tabs>
        <w:numPr>
          <w:ilvl w:val="0"/>
          <w:numId w:val="5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9" w:lineRule="exact"/>
        <w:rPr>
          <w:rFonts w:ascii="Times New Roman" w:cs="Times New Roman" w:eastAsia="Times New Roman" w:hAnsi="Times New Roman"/>
          <w:sz w:val="18"/>
          <w:szCs w:val="18"/>
          <w:color w:val="0A2E94"/>
        </w:rPr>
      </w:pPr>
    </w:p>
    <w:p>
      <w:pPr>
        <w:ind w:left="340" w:right="40" w:hanging="238"/>
        <w:spacing w:after="0" w:line="250" w:lineRule="auto"/>
        <w:tabs>
          <w:tab w:leader="none" w:pos="340" w:val="left"/>
        </w:tabs>
        <w:numPr>
          <w:ilvl w:val="0"/>
          <w:numId w:val="5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 w:lineRule="exact"/>
        <w:rPr>
          <w:rFonts w:ascii="Times New Roman" w:cs="Times New Roman" w:eastAsia="Times New Roman" w:hAnsi="Times New Roman"/>
          <w:sz w:val="18"/>
          <w:szCs w:val="18"/>
          <w:color w:val="0A2E94"/>
        </w:rPr>
      </w:pPr>
    </w:p>
    <w:p>
      <w:pPr>
        <w:ind w:left="340" w:hanging="238"/>
        <w:spacing w:after="0" w:line="250" w:lineRule="auto"/>
        <w:tabs>
          <w:tab w:leader="none" w:pos="340" w:val="left"/>
        </w:tabs>
        <w:numPr>
          <w:ilvl w:val="0"/>
          <w:numId w:val="5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current or future product candidates or that results in costly litigation or arbitration that diverts management attention and resources;</w:t>
      </w:r>
    </w:p>
    <w:p>
      <w:pPr>
        <w:ind w:left="340" w:hanging="238"/>
        <w:spacing w:after="0" w:line="250" w:lineRule="auto"/>
        <w:tabs>
          <w:tab w:leader="none" w:pos="340" w:val="left"/>
        </w:tabs>
        <w:numPr>
          <w:ilvl w:val="0"/>
          <w:numId w:val="5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collaborations may be terminated, which may result in a need for additional capital to pursue further development or commercialization of the applicable current or future product candidates;</w:t>
      </w:r>
    </w:p>
    <w:p>
      <w:pPr>
        <w:ind w:left="340" w:hanging="238"/>
        <w:spacing w:after="0" w:line="250" w:lineRule="auto"/>
        <w:tabs>
          <w:tab w:leader="none" w:pos="340" w:val="left"/>
        </w:tabs>
        <w:numPr>
          <w:ilvl w:val="0"/>
          <w:numId w:val="5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collaborators may own or co-own intellectual property covering products that result from our collaboration with them, and in such cases, we would not have the exclusive right to develop or commercialize such intellectual property;</w:t>
      </w:r>
    </w:p>
    <w:p>
      <w:pPr>
        <w:ind w:left="340" w:hanging="238"/>
        <w:spacing w:after="0"/>
        <w:tabs>
          <w:tab w:leader="none" w:pos="340" w:val="left"/>
        </w:tabs>
        <w:numPr>
          <w:ilvl w:val="0"/>
          <w:numId w:val="5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disputes may arise with respect to the ownership of any intellectual property developed pursuant to our collaborations; and</w:t>
      </w:r>
    </w:p>
    <w:p>
      <w:pPr>
        <w:spacing w:after="0" w:line="9" w:lineRule="exact"/>
        <w:rPr>
          <w:rFonts w:ascii="Times New Roman" w:cs="Times New Roman" w:eastAsia="Times New Roman" w:hAnsi="Times New Roman"/>
          <w:sz w:val="18"/>
          <w:szCs w:val="18"/>
          <w:color w:val="0A2E94"/>
        </w:rPr>
      </w:pPr>
    </w:p>
    <w:p>
      <w:pPr>
        <w:ind w:left="340" w:right="700" w:hanging="238"/>
        <w:spacing w:after="0" w:line="260" w:lineRule="auto"/>
        <w:tabs>
          <w:tab w:leader="none" w:pos="340" w:val="left"/>
        </w:tabs>
        <w:numPr>
          <w:ilvl w:val="0"/>
          <w:numId w:val="5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Additionally, we may seek to enter into additional collaborations, joint ventures, licenses and other similar arrangements for the development or commercialization of our product candidates, due to capital costs required to develop or commercialize the product candidate or manufacturing constraints. We may not be successful in our efforts to establish such collaborations for our product candidates because our R&amp;D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and/or maintain commercially valuable regulatory exclusivity and patent claims or to protect our patents, trademarks, know-how and trade secrets, our ability to successfully commercialize our products and product candidates would be adversely impacted.</w:t>
      </w:r>
    </w:p>
    <w:p>
      <w:pPr>
        <w:spacing w:after="0" w:line="159" w:lineRule="exact"/>
        <w:rPr>
          <w:sz w:val="20"/>
          <w:szCs w:val="20"/>
          <w:color w:val="auto"/>
        </w:rPr>
      </w:pPr>
    </w:p>
    <w:p>
      <w:pPr>
        <w:jc w:val="both"/>
        <w:ind w:right="500"/>
        <w:spacing w:after="0" w:line="289" w:lineRule="auto"/>
        <w:rPr>
          <w:sz w:val="20"/>
          <w:szCs w:val="20"/>
          <w:color w:val="auto"/>
        </w:rPr>
      </w:pPr>
      <w:r>
        <w:rPr>
          <w:rFonts w:ascii="Times New Roman" w:cs="Times New Roman" w:eastAsia="Times New Roman" w:hAnsi="Times New Roman"/>
          <w:sz w:val="17"/>
          <w:szCs w:val="17"/>
          <w:color w:val="auto"/>
        </w:rPr>
        <w:t>We rely on effective exclusivity and IP protection and our success will depend in part on our ability to obtain and/or maintain commercially valuable regulatory exclusivity and patent claims and to protect our patents, trademarks, know-how and trade secrets. We and our collaboration partners face numerous risks and uncertainties with respect to our licensed patents and those that may subsequently be licensed or issued to us, including that:</w:t>
      </w:r>
    </w:p>
    <w:p>
      <w:pPr>
        <w:spacing w:after="0" w:line="158" w:lineRule="exact"/>
        <w:rPr>
          <w:sz w:val="20"/>
          <w:szCs w:val="20"/>
          <w:color w:val="auto"/>
        </w:rPr>
      </w:pPr>
    </w:p>
    <w:p>
      <w:pPr>
        <w:ind w:left="340" w:hanging="238"/>
        <w:spacing w:after="0"/>
        <w:tabs>
          <w:tab w:leader="none" w:pos="340" w:val="left"/>
        </w:tabs>
        <w:numPr>
          <w:ilvl w:val="0"/>
          <w:numId w:val="5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lodged regulatory filings may not result in intended market or data exclusivity;</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governments may change data and market exclusivity provisions;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know-how and trade secrets may be published removing protections;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patent or trademark applications may not result in issued patents or trademarks or may take longer than expected to be issued;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claims of any patents or trademarks that are issued may not provide meaningful protection;</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patent term extensions may not be granted or, if granted, may be subject to revision;</w:t>
      </w:r>
    </w:p>
    <w:p>
      <w:pPr>
        <w:spacing w:after="0" w:line="9" w:lineRule="exact"/>
        <w:rPr>
          <w:rFonts w:ascii="Times New Roman" w:cs="Times New Roman" w:eastAsia="Times New Roman" w:hAnsi="Times New Roman"/>
          <w:sz w:val="18"/>
          <w:szCs w:val="18"/>
          <w:color w:val="0A2E94"/>
        </w:rPr>
      </w:pPr>
    </w:p>
    <w:p>
      <w:pPr>
        <w:ind w:left="340" w:right="660" w:hanging="238"/>
        <w:spacing w:after="0" w:line="250" w:lineRule="auto"/>
        <w:tabs>
          <w:tab w:leader="none" w:pos="340" w:val="left"/>
        </w:tabs>
        <w:numPr>
          <w:ilvl w:val="0"/>
          <w:numId w:val="5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and our research partners may not be able to develop additional proprietary technologies that are patentable or otherwise protectable under regulatory exclusivity principles;</w:t>
      </w:r>
    </w:p>
    <w:p>
      <w:pPr>
        <w:ind w:left="340" w:hanging="238"/>
        <w:spacing w:after="0"/>
        <w:tabs>
          <w:tab w:leader="none" w:pos="340" w:val="left"/>
        </w:tabs>
        <w:numPr>
          <w:ilvl w:val="0"/>
          <w:numId w:val="5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patents issued to us, or our industry partners, may not provide a competitive advantage;</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other companies may challenge our issued patents or trademarks;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other companies may independently develop similar or alternative technologies to ours or duplicate or design around our technology;</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other companies may hold patents or trademarks that are relevant to our technology or activities and enforce their rights against us;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if patents are not issued, then the value of our patent rights may be significantly diminished.</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Additionally, any information contained in our licensed patents could become part of the public domain, so that it will not be protected as confidential information or trade secrets. As legal regulations and standards relating to the validity and scope of regulatory exclusivity and IP continue to evolve around the world, the degree of future protection for our proprietary rights is uncertain. We may also be subject to arbitrary compulsory licenses or governmental acts reducing IP protection outside our reasonable control. We may incur significant costs in asserting any patent or trademark IP rights and in defending legal action against us relating to IP rights. Such disputes could delay our product development or commercialization activities. Parties making claims against us may be able to obtain injunctive or other equitable relief that could prevent us from further developing discoveries or commercializing products or require the payment of damages or royalties.</w:t>
      </w:r>
    </w:p>
    <w:p>
      <w:pPr>
        <w:spacing w:after="0" w:line="18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addition, in the event a successful claim of infringement is made out against us, we may be required to pay damages and obtain one or more licenses from the prevailing third party. If we are not able to obtain these licenses at a reasonable cost, if it all, we may encounter delays and lose substantial resources while seeking to develop or commercialize alternative products.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There is a risk that third parties may have IP that is relevant to our proposed activities which could prevent us conducting these activities or may require us to license in the third party’s IP, find alternatives for the third-party IP, or seek to challenge the third-party IP, either at an administrative stage or through the courts. We may need to acquire or license IP from third parties to develop and commercialize our own pipeline of IP and products. There is no guarantee such acquisitions or licenses can be obtained or, if obtained, that they will be on reasonable commercial terms. Additionally,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there can also be no assurance that any of these parties will not breach confidentiality, or infringe or misappropriate our IP, which could cause material loss to us.</w:t>
      </w:r>
    </w:p>
    <w:p>
      <w:pPr>
        <w:spacing w:after="0" w:line="188"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products or product candidates and other discoveries, or if the scope of the patent protection obtained is not sufficiently broad, our competitors could develop and commercialize products and other discoveries similar or identical to ours, and our ability to successfully commercialize our products or product candidates and other discoveries may be adversely affected.</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proprietary products and product candidates and other discoveries. We seek to protect our proprietary position by filing patent applications in the United States and abroad related to our novel products and product candidates and other discoveries that are important to our business. For a description of our patent portfolio, see “Item 4. Information on the Company — B. Business Overview.” We intend to continue to apply for patents with claims covering our key products, product candidates or other discoveries when and where we deem it appropriate to do so.</w:t>
      </w:r>
    </w:p>
    <w:p>
      <w:pPr>
        <w:spacing w:after="0" w:line="18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As such, our intellectual property rights in some countries outside the United States can be less extensive than those in the United States and we may not be able to prevent third parties from practicing our inventions in all countries outside the United States, or from selling or importing products made using our inventions in and into the United States or other jurisdictions. The legal systems of certain countries, particularly certain developing countries, do not favor the enforcement of patents and other intellectual property protection, particularly those relating to pharmaceuticals or biologics, which could make it difficult for us to stop the infringement of our patents or marketing of competing products in violation of our proprietary rights generally, which could result in substantial costs and divert our efforts and attention from other aspects of our business.</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product candidates or other discoveries, or which effectively prevent others from commercializing competitive products and discoveries. Changes in either the patent laws or interpretation of the patent laws in the United States and other countries may diminish the value of our patents or narrow the scope of our patent protection. The patent positions of companies in the development and commercialization of pharmaceuticals are particularly uncertain.</w:t>
      </w:r>
    </w:p>
    <w:p>
      <w:pPr>
        <w:spacing w:after="0" w:line="18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United States Patent and Trademark Office, or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Composition of matter patents for biological and pharmaceutical products and product candidates often provide a strong form of intellectual property protection for those types of products, as such patents provide protection without regard to any method of use. We cannot be certain that the claims in our pending patent applications covering compositions of matter of our product candidates will be considered patentable by the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 of use patents, the practice is common and such infringement is difficult to prevent or prosecute.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laws of foreign countries may not protect our rights to the same extent as the laws of the United States. For example, in some foreign jurisdictions, our ability to secure patents based on our filings in the United States may depend, in part, on our ability to timely obtain assignment of rights to the invention from the employees and consultants who invented the technology.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Assuming the other requirements for patentability are met, prior to March 2013, in the United States, the first to invent the claimed invention was entitled to the patent, while outside of the United States, the first to file a patent application is entitled to the patent. In March 2013, the United States transitioned to a first-inventor-to-file system in which, assuming the other requirements for patentability are met, the first inventor to file a patent application is entitled to the patent.</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may be subject to a third-party pre-issuance submission of prior art to the USPTO or become involved in opposition, derivation, revocation, reexamination, or post-grant or inter partes review or interference proceedings challenging our patent rights or the patent rights of others. An adverse determination in any such submission, proceeding or litigation could reduce the scope of, or invalidate, our patent rights, allow third parties to commercialize our discoveries or products and compete directly with us, without payment to us, or result in our inability to manufacture or commercialize products without infringing third-party patent rights. In addition, given the amount of time required for the development, testing and regulatory review of new product candidates, patents protecting such candidates might expire before or shortly after such candidates are commercialized. Any failure to obtain or maintain patent protection with respect to our product candidates could have a material adverse effect on our business, financial condition, results of operations and prospects.</w:t>
      </w:r>
    </w:p>
    <w:p>
      <w:pPr>
        <w:spacing w:after="0" w:line="19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discoveries or products in a non-infringing manner.</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discoveries and products, or limit the duration of the patent protection of our products, product candidates and discoveries.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3"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 candidates.</w:t>
      </w:r>
    </w:p>
    <w:p>
      <w:pPr>
        <w:spacing w:after="0" w:line="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We cannot be certain that we are aware of all third-party patents and pending applications in the United States and abroad that are relevant to or necessary for the commercialization of our product candidates in any jurisdiction. We may not be able to conduct complete and thorough searches, we may not be able to identify all relevant third-party patents, and we may not be able to fully predict the scope of the patent claims or the expiration of relevant third-party patent applications that may issue as patents.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We may incorrectly determine that our product candidates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 candidates.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rights to develop and commercialize our products and product candidates are subject in part to the terms and conditions of licenses granted to us by others, and the patent protection, prosecution and enforcement for some of our products and product candidates may be dependent on our licensors. </w:t>
      </w:r>
      <w:r>
        <w:rPr>
          <w:rFonts w:ascii="Times New Roman" w:cs="Times New Roman" w:eastAsia="Times New Roman" w:hAnsi="Times New Roman"/>
          <w:sz w:val="18"/>
          <w:szCs w:val="18"/>
          <w:color w:val="auto"/>
        </w:rPr>
        <w:t>We currently are reliant upon licenses of certain intellectual property rights and proprietary technologies from third parties that are important or necessary to the development of our proprietary technologies, including technologies related to Illuccix and our product candidates. These licenses, and other licenses we may enter into in the future, may not provide adequate rights to use such intellectual property and proprietary technologies in all relevant fields of use or in all territories in which we may wish to develop or commercialize technology and product candidates in the future. Licenses to additional third-party proprietary technology or intellectual property rights that may be required for our development programs may not be available in the future or may not be available on commercially reasonable terms. In that event, we may be required to expend significant time and resources to redesign our proprietary technology or product candidates or to develop or license replacement technology, which may not be feasible on a technical or commercial basis. If we are unable to do so, we may not be able to develop and commercialize technology and product candidates in fields of use and territories for which we are not granted rights pursuant to such licenses, which could harm our competitive position, business, financial condition, results of operations and prospects significantly.</w:t>
      </w:r>
    </w:p>
    <w:p>
      <w:pPr>
        <w:spacing w:after="0" w:line="1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licensing or acquisition of third-party intellectual property rights is a competitive area, and several more established companies may pursue strategies to license or acquire third-party intellectual property rights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Moreover, some of our owned and in-licensed patents or patent applications or future patents are or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Furthermore, our owned and in-licensed patents may be subject to a reservation of rights by one or more third parties. Any of the foregoing could have a material adverse effect on our competitive position, business, financial conditions, results of operations and prospects.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some circumstances, we may not have the right to control the preparation, filing and prosecution of patent applications, or to maintain and enforce the patents, covering technology that we license from third parties. In addition, some of our agreements with our licensors require us to obtain consent from the licensor before we can enforce patent rights, and our licensor may withhold such consent or may not provide it on a timely basis. Therefore, we cannot be certain that our licensors or collaborators will prosecute, maintain, enforce and defend such intellectual property rights in a manner consistent with the best interests of our business, including by taking reasonable measures to protect the confidentiality of know-how and trade secrets, or by paying all applicable prosecution and maintenance fees related to intellectual property registrations for any of our products or product candidates and proprietary technologies. We also cannot be certain that our licensors have drafted or prosecuted the patents and patent applications licensed to us in compliance with applicable laws and regulations, which may affect the validity and enforceability of such patents or any patents that may issue from such applications.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product candidates, we may be unable to maintain profitability.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rights that are subject to our existing licenses. Any of these events could have a material adverse effect on competitive position, business, financial conditions,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technology licensed from third parties may be subject to retained rights.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license we may enter into could provide for the retention by the licensor of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any future licensors will limit their use of the technology to these uses, and we may incur substantial expenses to enforce our rights to our licensed technology in the event of misuse.</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the U.S.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The Bayh-Dole Act also imposes other obligations, including the requirement that products covered by the government funded patents be manufactured in the United States. We sometimes collaborate with academic institutions to accelerate our preclinical research or development. In the future, we may own or license technology which is critical to our business that is developed in whole or in part with federal funds subject to the Bayh-Dole Act. If the federal government exercises its rights under the Bayh-Dole Act, our ability to enforce or otherwise exploit patents covering such technology may be adversely affected.</w:t>
      </w:r>
    </w:p>
    <w:p>
      <w:pPr>
        <w:spacing w:after="0" w:line="184" w:lineRule="exact"/>
        <w:rPr>
          <w:sz w:val="20"/>
          <w:szCs w:val="20"/>
          <w:color w:val="auto"/>
        </w:rPr>
      </w:pPr>
    </w:p>
    <w:p>
      <w:pPr>
        <w:jc w:val="both"/>
        <w:ind w:right="2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or these agreements are terminated or we otherwise experience disruptions to our business relationships with our licensors, we could lose intellectual property rights that are important to our business.</w:t>
      </w:r>
    </w:p>
    <w:p>
      <w:pPr>
        <w:ind w:right="140"/>
        <w:spacing w:after="0" w:line="253" w:lineRule="auto"/>
        <w:rPr>
          <w:sz w:val="20"/>
          <w:szCs w:val="20"/>
          <w:color w:val="auto"/>
        </w:rPr>
      </w:pPr>
      <w:r>
        <w:rPr>
          <w:rFonts w:ascii="Times New Roman" w:cs="Times New Roman" w:eastAsia="Times New Roman" w:hAnsi="Times New Roman"/>
          <w:sz w:val="18"/>
          <w:szCs w:val="18"/>
          <w:color w:val="auto"/>
        </w:rPr>
        <w:t>We are party to various agreements that we depend on to develop Illuccix and our product candidates and various proprietary technologies, and our rights to use currently licensed intellectual property, or intellectual property to be licensed in the future, are or will be subject to the continuation of and our compliance with the terms of these agreements. For example, under certain of our license agreements we are required to use commercially reasonable efforts to develop and commercialize product candidates covered by the licensed intellectual property rights, maintain the licensed intellectual property rights, and achieve certain development milestones, each of which could result in termination in the event we fail to comply.</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licensing agreement, including:</w:t>
      </w:r>
    </w:p>
    <w:p>
      <w:pPr>
        <w:spacing w:after="0" w:line="225" w:lineRule="exact"/>
        <w:rPr>
          <w:sz w:val="20"/>
          <w:szCs w:val="20"/>
          <w:color w:val="auto"/>
        </w:rPr>
      </w:pPr>
    </w:p>
    <w:p>
      <w:pPr>
        <w:ind w:left="340" w:hanging="238"/>
        <w:spacing w:after="0"/>
        <w:tabs>
          <w:tab w:leader="none" w:pos="340" w:val="left"/>
        </w:tabs>
        <w:numPr>
          <w:ilvl w:val="0"/>
          <w:numId w:val="5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financial or other obligations under the licensing agreement;</w:t>
      </w:r>
    </w:p>
    <w:p>
      <w:pPr>
        <w:spacing w:after="0" w:line="9" w:lineRule="exact"/>
        <w:rPr>
          <w:rFonts w:ascii="Times New Roman" w:cs="Times New Roman" w:eastAsia="Times New Roman" w:hAnsi="Times New Roman"/>
          <w:sz w:val="18"/>
          <w:szCs w:val="18"/>
          <w:color w:val="0A2E94"/>
        </w:rPr>
      </w:pPr>
    </w:p>
    <w:p>
      <w:pPr>
        <w:ind w:left="340" w:hanging="238"/>
        <w:spacing w:after="0" w:line="250" w:lineRule="auto"/>
        <w:tabs>
          <w:tab w:leader="none" w:pos="340" w:val="left"/>
        </w:tabs>
        <w:numPr>
          <w:ilvl w:val="0"/>
          <w:numId w:val="5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extent to which our product candidates, technology and processes infringe on intellectual property of the licensor that is not subject to the licensing agreement;</w:t>
      </w:r>
    </w:p>
    <w:p>
      <w:pPr>
        <w:ind w:left="340" w:hanging="238"/>
        <w:spacing w:after="0"/>
        <w:tabs>
          <w:tab w:leader="none" w:pos="340" w:val="left"/>
        </w:tabs>
        <w:numPr>
          <w:ilvl w:val="0"/>
          <w:numId w:val="5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sublicensing of patent and other rights under our collaboration agreements;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rights to transfer or assign the license;</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hanging="238"/>
        <w:spacing w:after="0"/>
        <w:tabs>
          <w:tab w:leader="none" w:pos="340" w:val="left"/>
        </w:tabs>
        <w:numPr>
          <w:ilvl w:val="0"/>
          <w:numId w:val="5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7" w:lineRule="exact"/>
        <w:rPr>
          <w:rFonts w:ascii="Times New Roman" w:cs="Times New Roman" w:eastAsia="Times New Roman" w:hAnsi="Times New Roman"/>
          <w:sz w:val="18"/>
          <w:szCs w:val="18"/>
          <w:color w:val="0A2E94"/>
        </w:rPr>
      </w:pPr>
    </w:p>
    <w:p>
      <w:pPr>
        <w:ind w:left="340" w:hanging="238"/>
        <w:spacing w:after="0" w:line="250" w:lineRule="auto"/>
        <w:tabs>
          <w:tab w:leader="none" w:pos="340" w:val="left"/>
        </w:tabs>
        <w:numPr>
          <w:ilvl w:val="0"/>
          <w:numId w:val="5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ind w:left="340" w:hanging="238"/>
        <w:spacing w:after="0"/>
        <w:tabs>
          <w:tab w:leader="none" w:pos="340" w:val="left"/>
        </w:tabs>
        <w:numPr>
          <w:ilvl w:val="0"/>
          <w:numId w:val="5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priority of invention of patented technology.</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certain provisions in our and our license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products or product candidates, which could have a material adverse effect on our competitive position, business, financial conditions, results of operations and prospects. We are generally also subject to all of the same risks with respect to protection of intellectual property that we may license as we are for intellectual property that we own, which are described herein. If we or any of our current or future licensors fail to adequately protect this intellectual property, our ability to commercialize product candidates could suffer.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and product candidates could be found invalid or unenforceable if challenged in courts or patent offices.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If we or one of our licensing partners initiated legal proceedings against a third party to enforce a patent covering one or more of our products or product candidates, the defendant could counterclaim that the patent covering the relevant product or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subject matter eligibility, novelty, non-obviousness, written description or 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Such proceedings could result in revocation or amendment to our patents in such a way that they no longer cover our products or product candidates.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With respect to the validity question, for example, we cannot be certain that there is no invalidating prior art, of which we and the patent examiner were unaware during prosecution.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If a defendant were to prevail on a legal assertion of invalidity and/or unenforceability, we would lose at least part, and perhaps all, of the patent protection on our products or product candidates. Such a loss of patent protection would have a material adverse impact on our business.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84"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Competitors or commercial supply companies or others may infringe our patents and other intellectual property rights. To counter infringement, we may be required to file infringement actions, which can be expensive and time-consuming. In an infringement proceeding, a defendant may assert and a court may agree with a defendant that a patent of ours is invalid or unenforceable (or both), or may refuse to stop the other party from using the intellectual property at issue.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An adverse result in any litigation could put one or more of our patents at risk of being invalidated or interpreted narrowly and could limit our ability to assert our patents against those parties or other competitors and may curtail or preclude our ability to exclude third parties from making and selling similar or competitive products.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3"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any current and future collaborators to develop, manufacture, market and sell Illuccix and our product candidates and use our proprietary technologies without infringing the proprietary rights of third parties. We may become party to, or threatened with, future adversarial proceedings or litigation regarding intellectual property rights with respect to our products or product candidates and technology, including interference proceedings before the USPTO. Third parties may assert infringement claims against us based on existing patents or patents that may be granted in the future. No litigation asserting such infringement claims is currently pending against us, and we have not been found by a court of competent jurisdiction to have infringed a third party’s intellectual property rights.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 candidates. Our product candidates and other proprietary technologies we may develop may infringe existing or future patents owned by third parties. Third parties may assert infringement claims against us based on existing or future intellectual property rights. We may not be aware of patents that have already been issued and that a third party, for example, a competitor in the fields in which we are developing our product candidates, might assert are infringed by our current or future product candidates, including claims to compositions, formulations, methods of manufacture or methods of use or treatment that cover our product candidates.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If such patent claims were to survive an invalidity challenge, and if they were asserted against us, we could incur substantial costs in the resulting litigation, including possible payment of treble damages for willful infringement and an injunction requiring us to cease sale of our products.</w:t>
      </w:r>
    </w:p>
    <w:p>
      <w:pPr>
        <w:spacing w:after="0" w:line="1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we are found to infringe or think there is a risk we may be found to infringe, a third party’s intellectual property rights, we could be required or choose to obtain a license from such third party to continue developing, marketing and selling our products, product candidates and technology. However, we may not be able to obtain any required license on commercially reasonable terms, or at all. Even if we were able to obtain a license, it could be non-exclusive, thereby giving our competitors access to the same intellectual property licensed to us. We could be forced, including by court order, to cease commercializing the infringing intellectual property or product or to cease using the infringing technology. In addition, we could be found liable for monetary damages. A finding of infringement could prevent us from commercializing our products or product candidates or force us to cease some of our business operations, and could divert the time and attention of our technical personnel and management, cause development delays, and/or require us to develop non-infringing technology, which may not be possible on a cost-effective basis, any of which could materially harm our business. In the event of a successful claim of infringement against us, we may have to pay substantial monetary damages, including treble damages and attorneys’ fees for willful infringement, pay royalties and other fees, redesign our infringing drug or obtain one or more licenses from third parties, which may be impossible or require substantial time and monetary expenditure. Claims that we have misappropriated the confidential information or trade secrets of third parties could have a similar negative impact on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Although we have no knowledge of any such claims being alleged to date, if such claims were to arise, litigation may be necessary to defend against any such claims. If we fail in defending any such claims, in addition to paying monetary damages, we may lose valuable intellectual property rights or personnel.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ordinary shares and ADSs. Such litigation or proceedings could substantially increase our operating losses and reduce the resources available for development activities or any future sales, marketing or distribution activities.</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Further, we may not have sufficient financial or other resources to adequately conduct such litigation or proceedings which typically last for years before they are concluded. Because of the expense and uncertainty of litigation, we may conclude that even if a third-party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shareholders, or it may be otherwise impractical or undesirable to enforce our intellectual property against some third parties. Some of our competitors may be able to sustain the costs of such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the initiation and continuation of patent litigation or other proceedings could have a material adverse effect on our ability to compete in the marketplace and could compromise our ability to raise the funds necessary to continue our clinical trials, continue our internal research programs, in-license needed technology or other product candidates, or enter into development partnerships that would help us bring our product candidates to market. Even if we ultimately prevail in such claims, the monetary cost of such litigation and the diversion of the attention of our management and scientific personnel could outweigh any benefit we receive as a result of the proceedings.</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Obtaining and maintaining our patent protection depends on compliance with various procedural, documentary, fee payment and other requirements imposed by governmental patent agencies, and our patent protection could be reduced or eliminated for non-compliance with these requirements. </w:t>
      </w: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the USPTO and various foreign patent offices at various points over the lifetime of the patents and/or applications. We have systems in place to remind us to pay these fees, and we rely on our outside counsel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with such provisions,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Patent rights are of limited duration. In the United States, if all maintenance fees are timely paid, the natural expiration of a patent is generally 20 years after its first effective filing date.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As a result, our patent portfolio may not provide us with sufficient rights to exclude others from commercializing product candidates similar or identical to ours. Upon issuance in the United States, a patent’s life can be increased based on certain delays caused by the USPTO, but this increase can be reduced or eliminated based on certain delays caused by the patent applicant during patent prosecution.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w:t>
      </w:r>
    </w:p>
    <w:p>
      <w:pPr>
        <w:spacing w:after="0" w:line="183" w:lineRule="exact"/>
        <w:rPr>
          <w:sz w:val="20"/>
          <w:szCs w:val="20"/>
          <w:color w:val="auto"/>
        </w:rPr>
      </w:pPr>
    </w:p>
    <w:p>
      <w:pPr>
        <w:ind w:right="5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our product candidates or any of our future product candidates obtain regulatory approval, additional competitors could enter the market with generic or similar versions of such products, which may result in a material decline in sales of our competing products.</w:t>
      </w:r>
    </w:p>
    <w:p>
      <w:pPr>
        <w:spacing w:after="0" w:line="1"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Under the Hatch-Waxman Act, a company may submit an ANDA, seeking approval of a generic version of an approved innovator product. Under the Hatch-Waxman Act, a company may also submit an NDA under section 505(b)(2) of the FDCA that references the FDA’s prior approval of the innovator product or preclinical studies and/or clinical trials that were not conducted by, or for, the sponsor and for which the sponsor has not obtained a right of reference. A 505(b)(2) NDA product may be for a new or improved version of the original innovator product. The Hatch-Waxman Act also provides for certain periods of regulatory exclusivity, which preclude FDA approval (or in some circumstances, FDA filing and review) of an ANDA or 505(b)(2) NDA.</w:t>
      </w:r>
    </w:p>
    <w:p>
      <w:pPr>
        <w:spacing w:after="0" w:line="1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certain circumstances, third parties may submit an ANDA or NDA under Section 505(b)(2) as early as the so-called “NCE-1” date that is one year before the expiry of the five-year period of New Chemical Entity exclusivity or more generally four years after NDA approval. The third parties may rely on certain safety and efficacy data of the innovator’s product, may not need to conduct clinical trials and can market a competing version of a product after the expiration or loss of patent exclusivity or the expiration or loss of regulatory exclusivity and often charge significantly lower prices. Upon the expiration or loss of patent protection or the expiration or loss of regulatory exclusivity for a product, the major portion of revenues for that product may be dramatically reduced in a very short period of time. If we are not successful in defending our patents and regulatory exclusivities, we will not derive the expected benefit from them.</w:t>
      </w:r>
    </w:p>
    <w:p>
      <w:pPr>
        <w:spacing w:after="0" w:line="18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w:t>
      </w:r>
    </w:p>
    <w:p>
      <w:pPr>
        <w:spacing w:after="0" w:line="1" w:lineRule="exact"/>
        <w:rPr>
          <w:sz w:val="20"/>
          <w:szCs w:val="20"/>
          <w:color w:val="auto"/>
        </w:rPr>
      </w:pPr>
    </w:p>
    <w:p>
      <w:pPr>
        <w:ind w:right="160" w:firstLine="8"/>
        <w:spacing w:after="0" w:line="253"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Accordingly, if any of our product candidates that are regulated as drugs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sponsor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17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extend the term of patents covering our product candidates under the Hatch-Waxman Act and similar foreign legislation, our business may be materially harmed.</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conditions of FDA marketing approval, if any, of our products or product candidates, one or more of our U.S. patents may be eligible for patent term extension under the Hatch-Waxman Act. The Hatch-Waxman Act permits a patent term extension of up to five years for one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The total patent term, including the extension period, may not exceed 14 years following FDA approval. Accordingly, the length of the extension, or the ability to even obtain an extension, depends on many factors.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United States, only a single patent can be extended for each qualifying FDA approval, and any patent can be extended only once and only for a single product. Laws governing analogous patent term extensions in foreign jurisdictions vary widely, as do laws governing the ability to obtain multiple patents from a single patent family.</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If we are unable to obtain a patent term extension for a product or product candidate or the term of any such extension is less than we request, the period during which we can enforce our patent rights for that product or product candidate, if any, in that jurisdiction will be shortened and our competitors may obtain approval to market competing products sooner. As a result, our revenue could be materially reduced.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In addition to seeking patents for our products, product candidates and other discoveries, we also rely on trade secrets, including unpatented know-how, technology and other proprietary information, to maintain our competitive position. Elements of our product candidates, including processes for their preparation and manufacture,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spacing w:after="0" w:line="19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Trade secrets and know-how can be difficult to protect. We seek to protect these trade secrets, in part, by entering into non-disclosure and confidentiality agreements with parties who have access to them, such as our employees, outside scientific collaborators, CROs,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We also may not have entered into such agreements with each party that may have or has had access to our trade secrets or proprietary technology and processes. To the extent that we are unable to timely enter into confidentiality and invention or patent assignment agreements with our employees and consultants, our ability to protect our business through trade secrets and patents may be harmed.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 To the extent inventions are made by a third party under an agreement that does not grant us an assignment of their rights in inventions, we may choose or be required to obtain a license.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 all of our trademarks are registered. Failure to secure those registrations could adversely affect our business.</w:t>
      </w:r>
    </w:p>
    <w:p>
      <w:pPr>
        <w:spacing w:after="0" w:line="31"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In total, as of December 31, 2024, we own 17 registered U.S. trademarks, 19 pending U.S. trademark applications, 182 foreign trademarks registered in jurisdictions such as Australia, Europe, China, Brazil and Japan, and 105 pending foreign trademark applications applied for in jurisdictions such as Australia, Europe, China, Brazil and Japan.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our registered and pending trademarks, see “Item 4. Information on the Company — B. Business Overview.”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If we do not secure registrations for our trademarks, we may encounter more difficulty in enforcing them against third parties than we otherwise would, which could adversely affect our business. During trademark registration proceedings in the United States and foreign jurisdictions, we may receive rejections. We are given an opportunity to respond to those rejections, but we may not be 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1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any proprietary name we propose to use with our key product candidates in the United States must be approved by the FDA, regardless of whether we have registered it, or applied to register it, as a trademark. The FDA typically conducts a review of proposed drug names, including an evaluation of potential for confusion with other drug names. If the FDA (or an equivalent administrative body in a foreign jurisdiction) objects to any of our proposed proprietary drug names for any of our product candidates, if approved, we may be required to expend significant additional resources in an effort to identify a suitable proprietary drug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and other intellectual property.</w:t>
      </w:r>
    </w:p>
    <w:p>
      <w:pPr>
        <w:spacing w:after="0" w:line="31"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competitive position, business, financial conditions, results of operations, and prospects. Even if we are successful in defending against such claims, litigation could result in substantial costs and be a distraction to management and other employees.</w:t>
      </w:r>
    </w:p>
    <w:p>
      <w:pPr>
        <w:spacing w:after="0" w:line="19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proprietary rights may not adequately protect our technologies and product candidates, and do not necessarily address all potential threats to our competitive advantage.</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81" w:lineRule="exact"/>
        <w:rPr>
          <w:sz w:val="20"/>
          <w:szCs w:val="20"/>
          <w:color w:val="auto"/>
        </w:rPr>
      </w:pPr>
    </w:p>
    <w:p>
      <w:pPr>
        <w:ind w:left="340" w:right="60" w:hanging="238"/>
        <w:spacing w:after="0" w:line="261" w:lineRule="auto"/>
        <w:tabs>
          <w:tab w:leader="none" w:pos="340" w:val="left"/>
        </w:tabs>
        <w:numPr>
          <w:ilvl w:val="0"/>
          <w:numId w:val="5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others may be able to make products that are the same as or similar to our product candidates but that are not covered by the claims of the patents that we own or have exclusively licensed;</w:t>
      </w:r>
    </w:p>
    <w:p>
      <w:pPr>
        <w:ind w:left="340" w:hanging="238"/>
        <w:spacing w:after="0" w:line="250" w:lineRule="auto"/>
        <w:tabs>
          <w:tab w:leader="none" w:pos="340" w:val="left"/>
        </w:tabs>
        <w:numPr>
          <w:ilvl w:val="0"/>
          <w:numId w:val="5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others, including inventors or developers of our or our owned or in-licensed patented technologies who may become involved with competitors, may independently develop similar technologies that function as alternatives or replacements for any of our technologies without infringing our intellectual property rights;</w:t>
      </w:r>
    </w:p>
    <w:p>
      <w:pPr>
        <w:spacing w:after="0" w:line="1" w:lineRule="exact"/>
        <w:rPr>
          <w:rFonts w:ascii="Times New Roman" w:cs="Times New Roman" w:eastAsia="Times New Roman" w:hAnsi="Times New Roman"/>
          <w:sz w:val="18"/>
          <w:szCs w:val="18"/>
          <w:color w:val="0A2E94"/>
        </w:rPr>
      </w:pPr>
    </w:p>
    <w:p>
      <w:pPr>
        <w:ind w:left="340" w:right="180" w:hanging="238"/>
        <w:spacing w:after="0" w:line="250" w:lineRule="auto"/>
        <w:tabs>
          <w:tab w:leader="none" w:pos="340" w:val="left"/>
        </w:tabs>
        <w:numPr>
          <w:ilvl w:val="0"/>
          <w:numId w:val="5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or our licensors or our other collaboration partners might not have been the first to conceive and reduce to practice the inventions covered by the patents or patent applications that we own or license or will own or license;</w:t>
      </w:r>
    </w:p>
    <w:p>
      <w:pPr>
        <w:ind w:left="340" w:right="60" w:hanging="238"/>
        <w:spacing w:after="0" w:line="250" w:lineRule="auto"/>
        <w:tabs>
          <w:tab w:leader="none" w:pos="340" w:val="left"/>
        </w:tabs>
        <w:numPr>
          <w:ilvl w:val="0"/>
          <w:numId w:val="5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or our licensors or our other collaboration partners might not have been the first to file patent applications covering certain of the patents or patent applications that we or they own or have obtained a license, or will own or will have obtained a license;</w:t>
      </w:r>
    </w:p>
    <w:p>
      <w:pPr>
        <w:ind w:left="340" w:right="340" w:hanging="238"/>
        <w:spacing w:after="0" w:line="250" w:lineRule="auto"/>
        <w:tabs>
          <w:tab w:leader="none" w:pos="340" w:val="left"/>
        </w:tabs>
        <w:numPr>
          <w:ilvl w:val="0"/>
          <w:numId w:val="5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or our licensors may fail to meet obligations to the U.S. government with respect to in-licensed patents and patent applications funded by U.S. government grants, leading to the loss of patent rights;</w:t>
      </w:r>
    </w:p>
    <w:p>
      <w:pPr>
        <w:ind w:left="340" w:hanging="238"/>
        <w:spacing w:after="0"/>
        <w:tabs>
          <w:tab w:leader="none" w:pos="340" w:val="left"/>
        </w:tabs>
        <w:numPr>
          <w:ilvl w:val="0"/>
          <w:numId w:val="5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it is possible that there are prior public disclosures that could invalidate our or our licensors’ patents;</w:t>
      </w:r>
    </w:p>
    <w:p>
      <w:pPr>
        <w:spacing w:after="0" w:line="9" w:lineRule="exact"/>
        <w:rPr>
          <w:rFonts w:ascii="Times New Roman" w:cs="Times New Roman" w:eastAsia="Times New Roman" w:hAnsi="Times New Roman"/>
          <w:sz w:val="18"/>
          <w:szCs w:val="18"/>
          <w:color w:val="0A2E94"/>
        </w:rPr>
      </w:pPr>
    </w:p>
    <w:p>
      <w:pPr>
        <w:ind w:left="340" w:right="200" w:hanging="238"/>
        <w:spacing w:after="0" w:line="250" w:lineRule="auto"/>
        <w:tabs>
          <w:tab w:leader="none" w:pos="340" w:val="left"/>
        </w:tabs>
        <w:numPr>
          <w:ilvl w:val="0"/>
          <w:numId w:val="5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issued patents that we own or exclusively license may not provide us with any competitive advantage, or may be held invalid or unenforceable, as a result of legal challenges by our competitors;</w:t>
      </w:r>
    </w:p>
    <w:p>
      <w:pPr>
        <w:ind w:left="340" w:right="40" w:hanging="238"/>
        <w:spacing w:after="0" w:line="250" w:lineRule="auto"/>
        <w:tabs>
          <w:tab w:leader="none" w:pos="340" w:val="left"/>
        </w:tabs>
        <w:numPr>
          <w:ilvl w:val="0"/>
          <w:numId w:val="5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competitors might conduct R&amp;D activities in countries where we do not have patent rights, or in countries where R&amp;D safe harbor laws exist, and then use the information learned from such activities to develop competitive products for sale in our major commercial markets;</w:t>
      </w:r>
    </w:p>
    <w:p>
      <w:pPr>
        <w:ind w:left="340" w:hanging="238"/>
        <w:spacing w:after="0"/>
        <w:tabs>
          <w:tab w:leader="none" w:pos="340" w:val="left"/>
        </w:tabs>
        <w:numPr>
          <w:ilvl w:val="0"/>
          <w:numId w:val="5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ownership, validity or enforceability of our or our licensors’ patents or patent applications may be challenged by third parties;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patents of third parties or pending or future applications of third parties, if issued, may have an adverse effect on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future success depends on our ability to retain key members of our management team and to attract, retain and motivate qualified personnel. </w:t>
      </w:r>
      <w:r>
        <w:rPr>
          <w:rFonts w:ascii="Times New Roman" w:cs="Times New Roman" w:eastAsia="Times New Roman" w:hAnsi="Times New Roman"/>
          <w:sz w:val="18"/>
          <w:szCs w:val="18"/>
          <w:color w:val="auto"/>
        </w:rPr>
        <w:t>We are highly dependent on the management, technical and scientific expertise of principal members of our management and scientific teams, including Christian Behrenbruch, our Managing Director and Group Chief Executive Officer. Although we have entered into formal employment agreements with our executive officers, these agreements do not prevent them from terminating their employment with us at any time by providing notice within the notice period specified in such agreements, subject to certain exceptions. We do not maintain “key person” insurance for any of our executives or other employees. The loss of the services of any of our key employees could impede the achievement of our research, development, commercialization and other business objectives.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is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strategies. Our consultants and advisors may be employed by employers other than us and may have commitments under consulting or advisory contracts with other entities that may limit their availability to us.</w:t>
      </w:r>
    </w:p>
    <w:p>
      <w:pPr>
        <w:spacing w:after="0" w:line="183"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expand our development and regulatory capabilities, and as a result, we may encounter difficulties in managing our growth, which could disrupt our operations.</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experienced rapid growth since our inception in 2017. We expect continued growth in the number of our employees and the scope of our operations, particularly to continue our clinical operations, preclinical and IND-enabling studies or studies approved by comparable foreign authorities and to establish regulatory, quality, and manufacturing supply chain logistics and facility operations.</w:t>
      </w: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manage our anticipated future growth, we will continue to seek to implement and improve our managerial, operational, and financial systems, expand our facilities, and continue to recruit and train additional qualified personnel. Due to our limited financial resources and the complexity in managing a company with such anticipated growth, we may not be able to effectively manage the expansion of our operations or recruit and train additional qualified personnel. In addition, we are completing the commissioning of a European manufacturing facility in Brussels South and have limited experience in managing the manufacturing processes necessary for delivering potent therapeutic radioisotopes. The expansion of our operations may lead to significant costs and may divert our management and business development resources. Any inability to manage growth could delay the execution of our business plans or disrupt our operations.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future growth imposes significant added responsibilities on members of management, including: identifying, recruiting, integrating, maintaining, and motivating new employees; managing our internal development efforts effectively, including the clinical and FDA, or comparable foreign regulatory authority, and review process for Illuccix and any other product candidates, while complying with our contractual obligations to third parties; and improving our operational, financial and management controls, reporting systems, and procedures. We currently rely, and for the foreseeable future will continue to rely, in substantial part on certain independent organizations, advisors, and consultants to provide certain services, including strategic, financial, business development, and research and development services, as well as certain aspects of regulatory approval and manufacturing. There can be no assurance that the services of independent organizations, advisors, and consultants will continue to be available to us on a timely basis when needed or on reasonable terms, or that we can find qualified replacements. In addition, if we are unable to effectively manage our outsourced activities or if the quality or accuracy of the services provided by consultants, CROs, or CMOs is compromised for any reason, our preclinical or clinical trials may be extended, delayed, or terminated, and we may not be able to obtain and/or maintain regulatory approval of Illuccix or any of our other product candidates or otherwise advance our business. We cannot assure you that we will be able to manage our existing consultants or find other competent outside contractors and consultants on economically reasonable terms, or at all.</w:t>
      </w:r>
    </w:p>
    <w:p>
      <w:pPr>
        <w:spacing w:after="0" w:line="19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qualified employees and expanding our groups of consultants and contractors, we may experience delays or may not be able to successfully implement the tasks necessary to further develop and commercialize Illuccix and any other product candidates we develop and, accordingly, we may not achieve our research, development, and commercialization goals.</w:t>
      </w:r>
    </w:p>
    <w:p>
      <w:pPr>
        <w:spacing w:after="0" w:line="172"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may be materially adversely affected in the event of information technology system failures or security breaches, and the costs and consequences of implementing data protection measures could be significant.</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third parties on which we rely, are vulnerable to damage from computer viruses, unauthorized access, natural disasters, fire, terrorism, war and telecommunication and electrical failures. Such systems are also vulnerable to service interruptions or to security breaches from inadvertent or intentional actions by our employees, third-party vendors and/or business partners, or from cyber incidents initiated by malicious third parties. Cyber incidents are increasing in their frequency, sophistication and intensity, and have become increasingly difficult to detect, respond to and recover from. Cyber incidents could include the deployment of harmful malware, ransomware, denial-of-service attacks, unauthorized access to or deletion of files, social engineering and other means to affect service reliability and threaten the confidentiality, integrity and availability of information. Cyber incidents also could include phishing attempts or e-mail fraud to cause payments or information to be transmitted to an unintended recipient. We could be subject to risks caused by misappropriation, misuse, leakage, falsification or intentional or accidental release or loss of information maintained in the information systems and networks of our company, including personal data of our employees, patients and clinical trial participants. In addition, we face other kinds of risks related to our commercial and personal data, including lost or stolen devices or other systems (including paper records) that collect and store our personal and commercial information, including clinical trial data.</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such an event were to occur and cause interruptions in our operations, it could result in a material disruption of our development and commercialization programs and our business operations, whether due to a loss of our trade secrets or other proprietary information or other similar disruptions.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reputation or competitive position could be damaged, and the further development and commercialization of our products or product candidates could be delayed or halted. In addition, we may in certain instances be required to provide notification to individuals or others in connection with the loss of their personal or commercial information.</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 material breach of our security or that of our vendors occurs, our financial or other confidential information could be compromised and could adversely affect our business or result in legal proceedings. In addition, the cost and operational consequences of implementing further data protection measures could be significant. The development and maintenance of these systems, controls and processes is costly and requires ongoing monitoring and updating as technologies change and efforts to overcome security measures become more sophisticated. Moreover, the possibility of these events occurring cannot be eliminated entirely.</w:t>
      </w:r>
    </w:p>
    <w:p>
      <w:pPr>
        <w:spacing w:after="0" w:line="1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employees, independent contractors, consultants, collaborators and vendors may engage in misconduct or other improper activities, including non-compliance with regulatory standards and/or requirements and insider trading, which could cause significant liability for us and harm our reputation. </w:t>
      </w:r>
      <w:r>
        <w:rPr>
          <w:rFonts w:ascii="Times New Roman" w:cs="Times New Roman" w:eastAsia="Times New Roman" w:hAnsi="Times New Roman"/>
          <w:sz w:val="17"/>
          <w:szCs w:val="17"/>
          <w:color w:val="auto"/>
        </w:rPr>
        <w:t>We are exposed to the risk of fraud or other misconduct by our employees, independent contractors, consultants, collaborators and vendors. Misconduct by these partners could include intentional, reckless and/or negligent conduct or unauthorized activities that violate FDA regulations or similar regulations of comparable foreign regulatory authorities; provide inaccurate information to the FDA or comparable foreign regulatory authorities; fail to comply with manufacturing standards, federal and state healthcare fraud and abuse laws and regulations and similar laws and regulations established and enforced by comparable foreign regulatory authorities; fail to comply with state drug pricing transparency filing requirements; fail to report financial information or data accurately; or fail to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laws, and requirements of foreign jurisdictions, including GDPR. We are also exposed to risks in connection with any insider trading violations by employees or others affiliated with us. It is not always possible to identify and deter employee or third-party misconduct, and the precautions we take to detect and prevent these activities may not be effective in controlling unknown or unmanaged risks or losses or in protecting us from significant penalties,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claims and proceedings could adversely impact our business.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have been in the past the subject of employment-related claims, and may in the future be a party to employment-related litigation, and any future litigation related to such actions could materially adversely affect us. We consider our historical experiences with such claims and proceedings to be in the normal course of our business or typical for our industry; however, it is difficult to assess the outcome of these matters, and we may not prevail in any future proceedings or litigation. Regardless of their merit, any threatened or actual claims or proceedings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an Investment in the ADSs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and liquid market for our securities may not continue to be developed or sustained, which could harm the market price of the ADSs.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our ordinary shares have been listed on the ASX since 2017, prior to the November 2024 listing of the ADSs on Nasdaq, there was no public market on a U.S. national securities exchange for our ordinary shares or ADSs. Given the limited trading history, an active trading market for the ADSs may not continue to be developed or sustained. In the absence of an active trading market for the ADSs, investors may not be able to sell their ADSs.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ordinary shares or ADSs by existing holders could depress the market price of the ordinary shares or ADSs.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Sales of a substantial number of shares or ADSs in the public market, or the perception that such sales could occur, could adversely affect the market price of our ordinary shares or ADSs. As of December 31, 2024, we had 334,724,485 outstanding ordinary shares, and approximately 19,001,000 in ordinary shares underlying outstanding share options and other equity securities convertible into or exercisable for ordinary shares. In addition, as of December 31, 2024, there were approximately 26,230,831 ordinary shares underlying outstanding Convertible Bonds, which may be converted at the option of the holders, subject to the conditions in the trust deed, at any time on or after September 9, 2024, at an initial conversion price of A$24.78 per ordinary share, subject to adjustment.</w:t>
      </w:r>
    </w:p>
    <w:p>
      <w:pPr>
        <w:spacing w:after="0" w:line="1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Ordinary shares underlying these securities may become eligible for sale in the public market in the future, subject to certain legal and contractual limitations. Sales of a large number of the ordinary shares in the public market could depress the market price of the ordinary shares or the ADSs. If these additional ordinary shares are sold, or if it is perceived that they will be sold, in the public market, the trading price of the ordinary shares and ADSs could decline substantially, which could impair our ability to raise additional capital through the issuance of ordinary shares, ADSs or other securities in the future.</w:t>
      </w:r>
    </w:p>
    <w:p>
      <w:pPr>
        <w:spacing w:after="0" w:line="3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shareholders may experience dilution if we issue ordinary shares or ADSs in future financings, and, as a result, the price of the ordinary shares or ADSs may decline.</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may from time-to-time issue additional ordinary shares or ADSs and such issuance may occur at a discount from the trading price of the ordinary shares or ADSs. Additionally, we have in the past issued debt securities convertible into equity, and we may do so again in the future. For example, in July 2024, we issued the Convertible Bonds, which may be converted into ordinary shares. As a result, holders of the ADSs could experience immediate dilution upon the issuance of any of our ordinary shares, including as a result of the conversion of some or all of the Convertible Bonds. As opportunities present themselves, we may enter into financing or similar arrangements in the future, including the issuance of debt securities, preference shares or shares. If we issue ordinary shares or other equity or equity-linked securities, holders of ADSs would experience additional dilution and, as a result, the trading price of the ordinary shares or ADSs may decline.</w:t>
      </w:r>
    </w:p>
    <w:p>
      <w:pPr>
        <w:spacing w:after="0" w:line="184"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Your right as a holder of ADSs to participate in any future preferential subscription rights offering or to elect to receive dividends in ordinary shares may be limited, which may cause dilution to your holdings.</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deposit agreement provides that the depositary will not make rights available to you unless the distribution to ADS holders of both the rights and any related securities are either registered under the Securities Act or exempted from registration under the Securities Act.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189"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principal shareholders and management own a significant percentage of our ordinary shares and will be able to exert significant control over matters subject to shareholder approval.</w:t>
      </w:r>
    </w:p>
    <w:p>
      <w:pPr>
        <w:spacing w:after="0" w:line="1" w:lineRule="exact"/>
        <w:rPr>
          <w:sz w:val="20"/>
          <w:szCs w:val="20"/>
          <w:color w:val="auto"/>
        </w:rPr>
      </w:pPr>
    </w:p>
    <w:p>
      <w:pPr>
        <w:ind w:left="20" w:right="40"/>
        <w:spacing w:after="0" w:line="253" w:lineRule="auto"/>
        <w:rPr>
          <w:sz w:val="20"/>
          <w:szCs w:val="20"/>
          <w:color w:val="auto"/>
        </w:rPr>
      </w:pPr>
      <w:r>
        <w:rPr>
          <w:rFonts w:ascii="Times New Roman" w:cs="Times New Roman" w:eastAsia="Times New Roman" w:hAnsi="Times New Roman"/>
          <w:sz w:val="18"/>
          <w:szCs w:val="18"/>
          <w:color w:val="auto"/>
        </w:rPr>
        <w:t>As of December 31, 2024, our executive officers, directors, holders of 5% or more of our outstanding equity interests and their respective affiliates beneficially owned approximately 20.74% of our outstanding ordinary shares. These shareholders may be able to determine all matters requiring shareholder approval and they may have interests that differ from yours and may be adverse to your interests. For example, these shareholders may be able to control elections of directors, amendments of our organizational documents, or approval of any merger, sale of assets, or other major corporate transaction.</w:t>
      </w:r>
    </w:p>
    <w:p>
      <w:pPr>
        <w:spacing w:after="0" w:line="183" w:lineRule="exact"/>
        <w:rPr>
          <w:sz w:val="20"/>
          <w:szCs w:val="20"/>
          <w:color w:val="auto"/>
        </w:rPr>
      </w:pPr>
    </w:p>
    <w:p>
      <w:pPr>
        <w:ind w:right="5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trial by jury with respect to claims arising under the deposit agreement, which could result in less favorable outcomes to the plaintiffs in any such action.</w:t>
      </w:r>
    </w:p>
    <w:p>
      <w:pPr>
        <w:spacing w:after="0" w:line="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deposit agreement governing our ADSs provides that, to the fullest extent permitted by applicable law, ADS holders, including holders who acquire ADSs in the secondary market, irrevocably waive the right to a trial by jury for any claim they may have against us or the depositary arising out of or relating to the deposit agreement, the shares or the ADSs, including claims under U.S. federal securities laws.</w:t>
      </w:r>
    </w:p>
    <w:p>
      <w:pPr>
        <w:spacing w:after="0" w:line="18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If this jury trial waiver provision is prohibited by applicable law, an action could nevertheless proceed under the terms of the deposit agreement with a trial by jury.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the ADSs. It is advisable that you consult legal counsel regarding the jury waiver provision before acquiring any ADS(s) and thereby becoming subject to the terms of the deposit agreement.</w:t>
      </w: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If any owner or holder of our ADSs, including purchasers of ADSs in secondary market transactions, brings a claim against us or the depositary in connection with matters arising under the deposit agreement or the ADSs, including claims under U.S. federal securities laws, such owner or holder may incur increased costs of bringing a claim and may not be entitled to a trial by jury with respect to such claims, which may have the effect of limiting and discouraging lawsuits against us or the depositary. If a lawsuit is brought against us or the depositary under the deposit agreement, it may be heard only by a judge of the applicable trial court, which would be conducted according to different civil procedures and may result in different outcomes than a trial by jury would have had, including results that could be less favorable to the plaintiffs in any such action. The deposit agreement governing our ADSs provides that any legal suit, action or proceeding against or involving us brought by the depositary or any holder or beneficial owner of ADSs, arising out of or based upon the deposit agreement, the ADSs, the ADRs or the transactions contemplated therein or thereby, may be instituted only in any state or federal court in New York, New York. This forum provision may increase your costs and limit your ability to bring a claim in a judicial forum that you find favorable for disputes with the depositary or us, or the depositary’s or our respective directors, officers or employees, which may discourage such lawsuits against the depositary, us and the depositary’s and our respective directors, officers or employees. However, it is possible that a court could find this choice of forum provision to be inapplicable or unenforceable. The enforceability of similar choice of forum provisions has been challenged in legal proceedings. Any legal suit, action or proceeding against or involving the depositary brought by us, arising out of or based upon the deposit agreement, the ADSs, the ADRs or the transactions contemplated therein or thereby, may only be instituted in a state or federal court in New York, New York. No condition, stipulation or provision of the deposit agreement or ADSs serves as a waiver by any holder or beneficial owner of ADSs or by us or the depositary of compliance with any provision of U.S. federal securities laws and the rules and regulations promulgated thereunder.</w:t>
      </w:r>
    </w:p>
    <w:p>
      <w:pPr>
        <w:spacing w:after="0" w:line="19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Limitations in the deposit agreement may not be effective to waive claims against the Company based on compliance with the federal securities laws. </w:t>
      </w:r>
      <w:r>
        <w:rPr>
          <w:rFonts w:ascii="Times New Roman" w:cs="Times New Roman" w:eastAsia="Times New Roman" w:hAnsi="Times New Roman"/>
          <w:sz w:val="18"/>
          <w:szCs w:val="18"/>
          <w:color w:val="auto"/>
        </w:rPr>
        <w:t>Although the deposit agreement provides a waiver of trial by jury as described above, we have been advised that no condition, stipulation or provision of the deposit agreement or ADSs can serve as a waiver by any owner or holder of ADSs or by us or the depositary of compliance with any substantive provision of the U.S. federal securities laws and the rules and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the ADSs may be volatile and may be affected by economic conditions beyond our control.</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price of the ADSs may be highly volatile and subject to wide fluctuations. The stock market in general, and the market for biopharmaceutical companies in particular, has experienced extreme volatility that has often been unrelated to the operating performance of particular companies. In addition, the trading volume of the ADSs may fluctuate and cause significant price variations to occur. If the market price of the ADSs declines significantly, you may be unable to resell the ADSs at or above the purchase price, if at all. We cannot assure you that the market price of the ADSs will not fluctuate or significantly decline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specific factors that could negatively affect the price of the ADSs or result in fluctuations in their price and trading volume include:</w:t>
      </w:r>
    </w:p>
    <w:p>
      <w:pPr>
        <w:spacing w:after="0" w:line="225" w:lineRule="exact"/>
        <w:rPr>
          <w:sz w:val="20"/>
          <w:szCs w:val="20"/>
          <w:color w:val="auto"/>
        </w:rPr>
      </w:pPr>
    </w:p>
    <w:p>
      <w:pPr>
        <w:ind w:left="340" w:hanging="238"/>
        <w:spacing w:after="0"/>
        <w:tabs>
          <w:tab w:leader="none" w:pos="340" w:val="left"/>
        </w:tabs>
        <w:numPr>
          <w:ilvl w:val="0"/>
          <w:numId w:val="5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adverse results or delays in our preclinical studies or clinical trials;</w:t>
      </w:r>
    </w:p>
    <w:p>
      <w:pPr>
        <w:spacing w:after="0" w:line="27" w:lineRule="exact"/>
        <w:rPr>
          <w:rFonts w:ascii="Times New Roman" w:cs="Times New Roman" w:eastAsia="Times New Roman" w:hAnsi="Times New Roman"/>
          <w:sz w:val="18"/>
          <w:szCs w:val="18"/>
          <w:color w:val="0A2E94"/>
        </w:rPr>
      </w:pPr>
    </w:p>
    <w:p>
      <w:pPr>
        <w:ind w:left="340" w:right="160" w:hanging="238"/>
        <w:spacing w:after="0" w:line="250" w:lineRule="auto"/>
        <w:tabs>
          <w:tab w:leader="none" w:pos="340" w:val="left"/>
        </w:tabs>
        <w:numPr>
          <w:ilvl w:val="0"/>
          <w:numId w:val="5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reports of adverse events or other negative results in clinical trials of third parties’ product candidates that target our products’ or product candidates’ target indications;</w:t>
      </w:r>
    </w:p>
    <w:p>
      <w:pPr>
        <w:ind w:left="340" w:hanging="238"/>
        <w:spacing w:after="0"/>
        <w:tabs>
          <w:tab w:leader="none" w:pos="340" w:val="left"/>
        </w:tabs>
        <w:numPr>
          <w:ilvl w:val="0"/>
          <w:numId w:val="5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an inability for us to obtain additional funding on reasonable terms or at all;</w:t>
      </w:r>
    </w:p>
    <w:p>
      <w:pPr>
        <w:spacing w:after="0" w:line="9" w:lineRule="exact"/>
        <w:rPr>
          <w:rFonts w:ascii="Times New Roman" w:cs="Times New Roman" w:eastAsia="Times New Roman" w:hAnsi="Times New Roman"/>
          <w:sz w:val="18"/>
          <w:szCs w:val="18"/>
          <w:color w:val="0A2E94"/>
        </w:rPr>
      </w:pPr>
    </w:p>
    <w:p>
      <w:pPr>
        <w:ind w:left="340" w:right="220" w:hanging="238"/>
        <w:spacing w:after="0" w:line="250" w:lineRule="auto"/>
        <w:tabs>
          <w:tab w:leader="none" w:pos="340" w:val="left"/>
        </w:tabs>
        <w:numPr>
          <w:ilvl w:val="0"/>
          <w:numId w:val="5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any delay in submitting an IND, BLA or NDA (or similar foreign application) for our product candidates and any adverse development or perceived adverse development with respect to the FDA’s (or comparable foreign regulatory authority’s) review of that IND, BLA or NDA (or similar foreign application);</w:t>
      </w:r>
    </w:p>
    <w:p>
      <w:pPr>
        <w:spacing w:after="0" w:line="1"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failure to develop successfully and commercialize our products and product candidates;</w:t>
      </w:r>
    </w:p>
    <w:p>
      <w:pPr>
        <w:spacing w:after="0" w:line="9" w:lineRule="exact"/>
        <w:rPr>
          <w:rFonts w:ascii="Times New Roman" w:cs="Times New Roman" w:eastAsia="Times New Roman" w:hAnsi="Times New Roman"/>
          <w:sz w:val="18"/>
          <w:szCs w:val="18"/>
          <w:color w:val="0A2E94"/>
        </w:rPr>
      </w:pPr>
    </w:p>
    <w:p>
      <w:pPr>
        <w:ind w:left="340" w:right="680" w:hanging="238"/>
        <w:spacing w:after="0" w:line="250" w:lineRule="auto"/>
        <w:tabs>
          <w:tab w:leader="none" w:pos="340" w:val="left"/>
        </w:tabs>
        <w:numPr>
          <w:ilvl w:val="0"/>
          <w:numId w:val="5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announcements we make regarding our current products and product candidates, acquisition of potential new products/product candidates and companies and/or in-licensing;</w:t>
      </w:r>
    </w:p>
    <w:p>
      <w:pPr>
        <w:ind w:left="340" w:hanging="238"/>
        <w:spacing w:after="0"/>
        <w:tabs>
          <w:tab w:leader="none" w:pos="340" w:val="left"/>
        </w:tabs>
        <w:numPr>
          <w:ilvl w:val="0"/>
          <w:numId w:val="5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failure to maintain our existing license arrangements or enter into new licensing and collaboration agreements;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failure by us or our licensors to prosecute, maintain or enforce our intellectual property rights;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changes in laws or regulations applicable to current and future products;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5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inability to obtain adequate clinical or commercial supply for our product candidates or the inability to do so at acceptable prices;</w:t>
      </w:r>
    </w:p>
    <w:p>
      <w:pPr>
        <w:spacing w:after="0" w:line="9" w:lineRule="exact"/>
        <w:rPr>
          <w:rFonts w:ascii="Times New Roman" w:cs="Times New Roman" w:eastAsia="Times New Roman" w:hAnsi="Times New Roman"/>
          <w:sz w:val="18"/>
          <w:szCs w:val="18"/>
          <w:color w:val="0A2E94"/>
        </w:rPr>
      </w:pPr>
    </w:p>
    <w:p>
      <w:pPr>
        <w:ind w:left="340" w:right="80" w:hanging="238"/>
        <w:spacing w:after="0" w:line="260" w:lineRule="auto"/>
        <w:tabs>
          <w:tab w:leader="none" w:pos="340" w:val="left"/>
        </w:tabs>
        <w:numPr>
          <w:ilvl w:val="0"/>
          <w:numId w:val="5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adverse regulatory decisions, including failure to reach agreement with applicable regulatory authorities on the design or scope of our planned clinical trials;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hanging="238"/>
        <w:spacing w:after="0"/>
        <w:tabs>
          <w:tab w:leader="none" w:pos="340" w:val="left"/>
        </w:tabs>
        <w:numPr>
          <w:ilvl w:val="0"/>
          <w:numId w:val="6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failure to obtain and maintain regulatory exclusivity for our products and product candidates;</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6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regulatory approval or commercialization of new products or other methods of treating our target disease indications by our competitors;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6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failure to meet or exceed financial projections we may provide to the public or to the investment community;</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6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publication of research reports or comments by securities or industry analysts;</w:t>
      </w:r>
    </w:p>
    <w:p>
      <w:pPr>
        <w:spacing w:after="0" w:line="9" w:lineRule="exact"/>
        <w:rPr>
          <w:rFonts w:ascii="Times New Roman" w:cs="Times New Roman" w:eastAsia="Times New Roman" w:hAnsi="Times New Roman"/>
          <w:sz w:val="18"/>
          <w:szCs w:val="18"/>
          <w:color w:val="0A2E94"/>
        </w:rPr>
      </w:pPr>
    </w:p>
    <w:p>
      <w:pPr>
        <w:ind w:left="340" w:right="620" w:hanging="238"/>
        <w:spacing w:after="0" w:line="250" w:lineRule="auto"/>
        <w:tabs>
          <w:tab w:leader="none" w:pos="340" w:val="left"/>
        </w:tabs>
        <w:numPr>
          <w:ilvl w:val="0"/>
          <w:numId w:val="6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perception of the pharmaceutical and biotechnology industries, and especially the radiopharmaceutical industry, by the public, legislatures, regulators and the investment community;</w:t>
      </w:r>
    </w:p>
    <w:p>
      <w:pPr>
        <w:ind w:left="340" w:right="180" w:hanging="238"/>
        <w:spacing w:after="0" w:line="250" w:lineRule="auto"/>
        <w:tabs>
          <w:tab w:leader="none" w:pos="340" w:val="left"/>
        </w:tabs>
        <w:numPr>
          <w:ilvl w:val="0"/>
          <w:numId w:val="6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announcements of significant acquisitions, strategic partnerships, joint ventures or capital commitments by us, our strategic collaboration partners or our competitors;</w:t>
      </w:r>
    </w:p>
    <w:p>
      <w:pPr>
        <w:ind w:left="340" w:right="340" w:hanging="238"/>
        <w:spacing w:after="0" w:line="250" w:lineRule="auto"/>
        <w:tabs>
          <w:tab w:leader="none" w:pos="340" w:val="left"/>
        </w:tabs>
        <w:numPr>
          <w:ilvl w:val="0"/>
          <w:numId w:val="6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ind w:left="340" w:hanging="238"/>
        <w:spacing w:after="0"/>
        <w:tabs>
          <w:tab w:leader="none" w:pos="340" w:val="left"/>
        </w:tabs>
        <w:numPr>
          <w:ilvl w:val="0"/>
          <w:numId w:val="6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additions to or departures of our key scientific or management personnel;</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6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significant lawsuits, including patent or shareholder litigation, against us;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6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changes in the market valuations of similar companies;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6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fluctuations of exchange rates between the U.S. dollar and the Australian dollar;</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6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changes in trading volume of ADSs on Nasdaq and of our ordinary shares on the ASX;</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6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sales or perceived potential sales of the ADSs or ordinary shares by us, our directors, executive officers or our shareholders in the future;</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6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announcement or expectations of additional financing efforts;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6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conditions in the U.S. or Australian financial markets or changes in general economic conditions.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 holders are not our shareholders and do not have shareholder rights.</w:t>
      </w:r>
    </w:p>
    <w:p>
      <w:pPr>
        <w:spacing w:after="0" w:line="3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JPMorgan Chase Bank, N.A., as depositary, will issue, register and deliver the ADSs. After purchasing an ADS, you will become a holder of ADSs with underlying ordinary shares in an Australian publicly listed company. ADS holders will not be treated as our shareholders and will not have shareholder rights. The depositary will be the holder of our ordinary shares underlying the ADSs. Holders of ADSs will have ADS holder rights, which are solely contractual in nature. A deposit agreement among us, the depositary, ADS holders, and the beneficial owners of ADSs, sets out ADS holder rights as well as the rights and obligations of the depositary. New York law governs the deposit agreement and the ADSs. We and the depositary may amend or terminate the deposit agreement without the ADS holders’ consent in a manner that could prejudice ADS holders. For a description of ADS holder rights, see “Item</w:t>
      </w:r>
    </w:p>
    <w:p>
      <w:pPr>
        <w:spacing w:after="0" w:line="1" w:lineRule="exact"/>
        <w:rPr>
          <w:sz w:val="20"/>
          <w:szCs w:val="20"/>
          <w:color w:val="auto"/>
        </w:rPr>
      </w:pPr>
    </w:p>
    <w:p>
      <w:pPr>
        <w:ind w:right="20" w:firstLine="8"/>
        <w:spacing w:after="0" w:line="255" w:lineRule="auto"/>
        <w:tabs>
          <w:tab w:leader="none" w:pos="27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Securities Other than Equity Securities — D. American Depositary Shares.” Our shareholders have shareholder rights. Australian law and our Constitution govern shareholder rights. For a description of our shareholders’ rights, see “Item 10. Additional Information — B. Memorandum and Articles of Association.”</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ADS holders do not have the same voting rights as our shareholders. Shareholders are entitled to receive our notices of general meetings and to attend and vote at our general meetings of shareholders. At a general meeting, every shareholder present and entitled to vote has one vote on a show of hands. Every shareholder present (in person or by proxy, attorney or representative) and entitled to vote has one vote per fully paid ordinary share on a poll. This is subject to any other rights or restrictions that may be attached to any shares. ADS holders may exercise voting rights with respect to the ordinary shares represented by the ADSs only in accordance with the provisions of the deposit agreement. ADS holders may instruct the depositary to vote the ordinary shares underlying their ADSs. Otherwise, ADS holders will not be entitled to exercise their right to vote unless they surrender their ADSs and withdraw the ordinary shares underlying their ADSs prior to both the ordinary share and ADS record dates for such meeting.</w:t>
      </w:r>
    </w:p>
    <w:p>
      <w:pPr>
        <w:spacing w:after="0" w:line="18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However, ADS holders may not have sufficient advance notice about the meeting to surrender their ADSs and withdraw the shares. If we ask for ADS holders’ instructions, the depositary will notify registered holders of ADSs of the upcoming vote and arrange to deliver our voting materials and form of notice to them. If we ask the depositary to solicit voting instructions, the depositary will try, as far as practical, subject to Australian law and the provisions of the depositary agreement, to vote the shares as ADS holders instruct. The depositary will not vote or attempt to exercise the right to vote other than in accordance with the instructions of ADS holders. We cannot assure ADS holders that they will receive the voting materials in time to ensure that they can instruct the depositary to vote their shares. In addition, there may be other circumstances in which ADS holders may not be able to exercise voting rights.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ADS holders do not have the same rights to receive dividends or other distributions as our shareholders. Subject to any special rights or restrictions attached to any shares, the directors may determine that a dividend will be payable on our ordinary shares and fix the amount, the time for payment and the method for payment (although we have never declared or paid any cash dividends on our ordinary shares and we do not anticipate paying any cash dividends in the foreseeable future). Dividends may be paid on our ordinary shares of one class but not another and at different rates for different classes. Dividends and other distributions payable to our shareholders with respect to our ordinary shares generally will be payable directly to them. Any dividends or distributions payable with respect to ordinary shares represented by ADSs will be paid to the depositary, which has agreed to pay to ADS holders the cash dividends or other distributions it or the custodian receives on shares or other deposited securities, after deducting its fees and expenses. Before the depositary makes a distribution to you in respect of your ADSs, any withholding taxes that must be paid will be deducted. Additionally, if the exchange rate fluctuates during a time when the ADS depositary cannot convert the foreign currency, you may lose some or all of the value of the distribution.</w:t>
      </w:r>
    </w:p>
    <w:p>
      <w:pPr>
        <w:spacing w:after="0" w:line="18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ADS holders will receive these distributions in proportion to the number of ordinary shares their ADSs represent. In addition, there may be certain circumstances in which the depositary may not pay to ADS holders amounts distributed by us as a dividend or distribution.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circumstances where it may be unlawful or impractical to make dividends or other distributions to the holders of the ADSs.</w:t>
      </w:r>
    </w:p>
    <w:p>
      <w:pPr>
        <w:spacing w:after="0" w:line="3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The deposit agreement requires the depositary to convert foreign currency distributions it receives on deposited ordinary shares into U.S. dollars and distribute the net U.S. dollars to ADS holders if it can do so on a reasonable basis and transfer the money to the United States. If it cannot make that conversion and transfer, the deposit agreement allows the depositary to distribute the foreign currency only to those ADS holders to whom it is possible to do so. If a dividend or other distribution is payable by us in Australian dollars, the depositary will hold the foreign currency it cannot convert for the account of ADS holders who have not been paid. It will not invest the foreign currency and it will not be liable for any interest. If the exchange rates fluctuate during a time when the depositary cannot convert the foreign currency, ADS holders may lose some of the value of the dividend or other distribution. The depositary is not responsible if it decides that it is unlawful or impractical to make a dividend or other distribution available to any ADS holders. This means that ADS holders may not receive the dividends or other distributions we make on our ordinary shares or any value for them if it is illegal or impractical for us to make them available to them.</w:t>
      </w:r>
    </w:p>
    <w:p>
      <w:pPr>
        <w:spacing w:after="0" w:line="189"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You will have limited ability to bring an action against us or against our directors and executive officers, or to enforce a judgment against us or them, because we are incorporated in Australia and certain of our directors and executive officers reside outside of the United States.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are incorporated under the laws of Australia. Certain of our directors and executive officers are residents of countries other than the United States and a portion of our and their assets are located outside of the United States. As a result, it may not be possible or practicable for you to effect service of process within the United States upon such persons or to enforce against us or them judgments obtained in U.S. courts predicated upon the civil liability provisions of the federal securities laws of the United States. Even if you are successful in bringing such an action, there is doubt as to whether Australian courts would enforce certain civil liabilities under U.S. securities laws in original actions or judgments of U.S. courts based upon these civil liability provisions. In addition, awards of punitive damages in actions brought in the United States or elsewhere may be unenforceable in Australia or elsewhere outside the United States. An award for monetary damages under U.S. securities laws would be considered punitive if it does not seek to compensate the claimant for loss or damage suffered and is intended to punish the defendant. The enforceability of any judgment in Australia will depend on the particular facts of the case as well as the laws and treaties in effect at the time. As a result, our holders of our ADSs may have more difficulty in protecting their interests through actions against us, our management or our directors than would shareholders of a corporation incorporated in a jurisdiction in the United States. In addition, as a company incorporated in Australia, the provisions of the Corporations Act 2001 (Cth), or the Australian Corporations Act, regulate the circumstances in which shareholder derivative actions may be commenced, which may be different to the circumstances for companies incorporated in the United States.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 listing of our ordinary shares and the ADSs may adversely affect the liquidity and value of the ADSs.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ordinary shares are listed on the ASX and our ADSs are listed on Nasdaq. We cannot predict the effect of our dual listing on the value of our ordinary shares and the ADSs. However, the dual listing of our ordinary shares and the ADSs may dilute the liquidity of these securities in one or both markets and may adversely affect the development of an active trading market for the ADSs in the United States. The price of the ADSs could also be adversely affected by trading in our ordinary shares on the ASX.</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risks associated with currency fluctuations, and changes in foreign currency exchange rates could impact our results of operations. </w:t>
      </w:r>
      <w:r>
        <w:rPr>
          <w:rFonts w:ascii="Times New Roman" w:cs="Times New Roman" w:eastAsia="Times New Roman" w:hAnsi="Times New Roman"/>
          <w:sz w:val="18"/>
          <w:szCs w:val="18"/>
          <w:color w:val="auto"/>
        </w:rPr>
        <w:t>Our ordinary shares are quoted in Australian dollars on the ASX and the ADSs are quoted in U.S. dollars. In the past year, the Australian dollar has generally weakened against the U.S. dollar; however, this trend may not continue and may be reversed. As such, any significant change in the value of the Australian dollar may have a negative effect on the value of the ADSs in U.S. dollars. In addition, if the Australian dollar weakens against the U.S. dollar, then, if we decide to convert our Australian dollars into U.S. dollars for any business purpose, appreciation of the U.S. dollar against the Australian dollar would have a negative effect on the U.S. dollar amount available to us. While we engage in limited hedging transactions to manage our foreign exchange risk, these activities may not be effective in limiting or eliminating foreign exchange losses. Consequently, appreciation or depreciation in the value of the Australian dollar relative to the U.S. dollar would affect our financial results reported in U.S. dollar terms without giving effect to any underlying change in our business or results of operations. As a result of such foreign currency fluctuations, it could be more difficult to detect underlying trends in our business and results of operations.</w:t>
      </w:r>
    </w:p>
    <w:p>
      <w:pPr>
        <w:spacing w:after="0" w:line="18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to follow, and we do follow, certain home country corporate governance practices in lieu of certain Nasdaq requirements applicable to domestic issuers.</w:t>
      </w:r>
    </w:p>
    <w:p>
      <w:pPr>
        <w:spacing w:after="0" w:line="1"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As a foreign private issuer listed on Nasdaq, we are permitted to follow, and we do follow, certain home country corporate governance practices in lieu of certain Nasdaq practices. In particular, we follow home country law instead of Nasdaq practice, and expect to continue to follow home country law instead of Nasdaq practice, regarding the following:</w:t>
      </w:r>
    </w:p>
    <w:p>
      <w:pPr>
        <w:spacing w:after="0" w:line="186" w:lineRule="exact"/>
        <w:rPr>
          <w:sz w:val="20"/>
          <w:szCs w:val="20"/>
          <w:color w:val="auto"/>
        </w:rPr>
      </w:pPr>
    </w:p>
    <w:p>
      <w:pPr>
        <w:ind w:left="340" w:right="180" w:hanging="238"/>
        <w:spacing w:after="0" w:line="257" w:lineRule="auto"/>
        <w:tabs>
          <w:tab w:leader="none" w:pos="340" w:val="left"/>
        </w:tabs>
        <w:numPr>
          <w:ilvl w:val="0"/>
          <w:numId w:val="6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rely on an exemption from the requirement that our independent directors meet regularly in executive sessions. The ASX Listing Rules and the Australian Corporations Act do not require the independent directors of an Australian company to have such executive sessions and, accordingly, we rely on this exemption.</w:t>
      </w:r>
    </w:p>
    <w:p>
      <w:pPr>
        <w:spacing w:after="0" w:line="1" w:lineRule="exact"/>
        <w:rPr>
          <w:rFonts w:ascii="Times New Roman" w:cs="Times New Roman" w:eastAsia="Times New Roman" w:hAnsi="Times New Roman"/>
          <w:sz w:val="18"/>
          <w:szCs w:val="18"/>
          <w:color w:val="0A2E94"/>
        </w:rPr>
      </w:pPr>
    </w:p>
    <w:p>
      <w:pPr>
        <w:jc w:val="both"/>
        <w:ind w:left="340" w:hanging="238"/>
        <w:spacing w:after="0" w:line="250" w:lineRule="auto"/>
        <w:tabs>
          <w:tab w:leader="none" w:pos="340" w:val="left"/>
        </w:tabs>
        <w:numPr>
          <w:ilvl w:val="0"/>
          <w:numId w:val="6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rely on an exemption from the requirement that the responsibility for the appointment of the independent registered public accounting firm be made by the audit committee. While our Audit and Risk Committee is directly responsible for remuneration and oversight of the independent registered public accounting firm, the ultimate responsibility for the appointment of the independent registered public accounting firm rests with our shareholders in accordance with Australian law and our Constitution. In accordance with Rule 10A-3 of the Exchange Act, our Audit and Risk Committee is responsible for the annual auditor engagement and if there is any proposed change to the independent registered public accounting firm, the committee will make a recommendation to our board of directors, which would then be considered by our shareholders at an annual meeting of shareholders.</w:t>
      </w:r>
    </w:p>
    <w:p>
      <w:pPr>
        <w:spacing w:after="0" w:line="2" w:lineRule="exact"/>
        <w:rPr>
          <w:rFonts w:ascii="Times New Roman" w:cs="Times New Roman" w:eastAsia="Times New Roman" w:hAnsi="Times New Roman"/>
          <w:sz w:val="18"/>
          <w:szCs w:val="18"/>
          <w:color w:val="0A2E94"/>
        </w:rPr>
      </w:pPr>
    </w:p>
    <w:p>
      <w:pPr>
        <w:jc w:val="both"/>
        <w:ind w:left="340" w:hanging="238"/>
        <w:spacing w:after="0" w:line="250" w:lineRule="auto"/>
        <w:tabs>
          <w:tab w:leader="none" w:pos="340" w:val="left"/>
        </w:tabs>
        <w:numPr>
          <w:ilvl w:val="0"/>
          <w:numId w:val="6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rely on an exemption from the quorum requirements applicable to meetings of shareholders under Nasdaq rules. Our Constitution provides that two shareholders present and entitled to vote on a resolution at the meeting shall constitute a quorum for a general meeting. Nasdaq requires that an issuer provide for a quorum as specified in its bylaws for any meeting of the holders of ordinary shares, which quorum may not be less than 33 1/3% of the outstanding shares of an issuer’s voting ordinary shares. Accordingly, because applicable Australian law and rules governing quorums at shareholder meetings differ from Nasdaq’s quorum requirements, we rely on this exemption.</w:t>
      </w:r>
    </w:p>
    <w:p>
      <w:pPr>
        <w:spacing w:after="0" w:line="1" w:lineRule="exact"/>
        <w:rPr>
          <w:rFonts w:ascii="Times New Roman" w:cs="Times New Roman" w:eastAsia="Times New Roman" w:hAnsi="Times New Roman"/>
          <w:sz w:val="18"/>
          <w:szCs w:val="18"/>
          <w:color w:val="0A2E94"/>
        </w:rPr>
      </w:pPr>
    </w:p>
    <w:p>
      <w:pPr>
        <w:ind w:left="340" w:right="40" w:hanging="238"/>
        <w:spacing w:after="0" w:line="251" w:lineRule="auto"/>
        <w:tabs>
          <w:tab w:leader="none" w:pos="340" w:val="left"/>
        </w:tabs>
        <w:numPr>
          <w:ilvl w:val="0"/>
          <w:numId w:val="6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rely on an exemption from the requirement prescribed by Nasdaq that issuers obtain shareholder approval prior to the issuance of securities in connection with certain acquisitions, changes of controls or private placements of securities, or the establishment or amendment of certain stock option, purchase or other compensation plans. Applicable Australian law and rules differ from Nasdaq requirements, with the ASX Listing Rules providing generally for the ability to seek prior shareholder approval in numerous circumstances, including (i) issuance of equity securities exceeding 15% of our issued share capital in any 12 month period (but, in determining the available issue limit, securities issued under an exception to the rule or with shareholder approval are not counted), (ii) issuance of equity securities to related parties, certain substantial shareholders and their respective associates (as defined in the ASX Listing Rules) and (iii) directors or their associates acquiring securities under an employee incentive plan. Due to differences between Australian law and rules and the Nasdaq shareholder approval requirements, we rely on this exemption.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As long as we remain subject to the rules of the ASX, we will be unable to access equity capital without shareholder approval if such equity capital sales would result in an equity issuance above regulatory thresholds and, consequently, we could be unable to obtain financing sufficient to sustain our business if we are unsuccessful in soliciting requisite shareholder approvals.</w:t>
      </w:r>
    </w:p>
    <w:p>
      <w:pPr>
        <w:ind w:right="260"/>
        <w:spacing w:after="0" w:line="253" w:lineRule="auto"/>
        <w:rPr>
          <w:sz w:val="20"/>
          <w:szCs w:val="20"/>
          <w:color w:val="auto"/>
        </w:rPr>
      </w:pPr>
      <w:r>
        <w:rPr>
          <w:rFonts w:ascii="Times New Roman" w:cs="Times New Roman" w:eastAsia="Times New Roman" w:hAnsi="Times New Roman"/>
          <w:sz w:val="18"/>
          <w:szCs w:val="18"/>
          <w:color w:val="auto"/>
        </w:rPr>
        <w:t>Our ability to access equity capital is subject to ASX Listing Rules 7.1 and 7.4, which provides that a company must not, without shareholder approval, issue or agree to issue any equity securities, or other securities with rights to conversion to equity, if such issue of securities, when aggregated with securities issued by the company during the previous 12-month period, would be an amount that would exceed 15% of the number of ordinary shares on issue at the commencement of the 12-month period, subject to certain adjustments and permitted exceptions.</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equity issuances are subject to limitations under ASX Listing Rule 7.1 as long as we continue to be listed on the ASX and this constraint may prevent us from raising the sufficient equity capital needed to conduct our operations as planned without shareholder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to file less information with the SEC than a company that files as a domestic issuer.</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As a foreign private issuer, we are exempt from certain rules under the Securities Exchange Act of 1934, as amended, or the Exchange Act, that impose disclosure requirements as well as procedural requirements for proxy solicitations under Section 14 of the Exchange Act. In addition, our officers, directors and principal shareholders are exempt from the reporting and “short-swing” profit recovery provisions of Section 16 of the Exchange Act. Moreover, we are not required to file periodic reports and financial statements with the SEC as frequently or as promptly as a company that files as a domestic issuer whose securities are registered under the Exchange Act. Under Australian law, we prepare financial statements on an annual and semi-annual basis, and we are not required to prepare or file quarterly financial information.</w:t>
      </w:r>
    </w:p>
    <w:p>
      <w:pPr>
        <w:spacing w:after="0" w:line="19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For as long as we are a “foreign private issuer,” we intend to file our annual financial statements on Form 20-F and furnish our semi-annual financial statements on Form 6-K to the SEC as long as we are subject to the reporting requirements of Section 13(g) or 15(d) of the Exchange Act. However, the information we file or furnish is not the same as the information that is required in annual reports on Form 10-K for U.S. domestic issuers. Accordingly, there may be less information publicly available concerning us than there is for a company that files as a U.S. issuer.</w:t>
      </w:r>
    </w:p>
    <w:p>
      <w:pPr>
        <w:spacing w:after="0" w:line="17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which would then require us to comply with the Exchange Act’s domestic reporting regime and cause us to incur additional legal, accounting and other expenses.</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While we currently qualify as a foreign private issuer, we will be required to determine our status as a foreign private issuer on an annual basis at the end of our second fiscal quarter. In order to maintain our current status as a foreign private issuer, either (i) a majority of our ordinary shares must be either directly or indirectly owned of record by non-residents of the United States or (ii) (a) a majority of our executive officers or directors must not be U.S. citizens or residents, (b) more than 50 percent of our assets cannot be located in the United States and (c) our business must be administered principally outside the United States.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rules and Nasdaq listing standards. Further, we would be required to comply with U.S. GAAP, as opposed to IFRS Accounting Standards, in the preparation and issuance of our financial statements for historical and current periods. If we are required to comply with the reporting requirements applicable to a U.S. domestic issuer, the regulatory and compliance costs to us may be higher than the cost we would incur as a foreign private issuer. As a result, we expect that a loss of foreign private issuer status would increase our legal and financial compliance costs.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an emerging growth company, and we cannot be certain if the reduced disclosure requirements applicable to emerging growth companies may make the ADSs less attractive to investors and, as a result, adversely affect the price of the ADSs and result in a less active trading market for the ADSs. </w:t>
      </w:r>
      <w:r>
        <w:rPr>
          <w:rFonts w:ascii="Times New Roman" w:cs="Times New Roman" w:eastAsia="Times New Roman" w:hAnsi="Times New Roman"/>
          <w:sz w:val="18"/>
          <w:szCs w:val="18"/>
          <w:color w:val="auto"/>
        </w:rPr>
        <w:t>We are an “emerging growth company,” or EGC, as defined in the JOBS Act. We will cease to be an emerging growth company upon the earliest to occur of (i) the last day of the fiscal year in which we have more than US$1.235 billion in annual revenue; (ii) the last day of the fiscal year in which we qualify as a “large accelerated filer”; (iii) the date on which we have, during the previous three-year period, issued more than US$1.0 billion in non-convertible debt securities; and (iv) the last day of the fiscal year in which the fifth anniversary of our first sale of common equity securities pursuant to an effective registration statement under the Securities Act occurs. For so long as we remain an EGC, we are permitted and intend to rely on exemptions from certain disclosure requirements that are applicable to other public companies that are not EGCs. Applicable exemptions include:</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hanging="238"/>
        <w:spacing w:after="0"/>
        <w:tabs>
          <w:tab w:leader="none" w:pos="340" w:val="left"/>
        </w:tabs>
        <w:numPr>
          <w:ilvl w:val="0"/>
          <w:numId w:val="6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and</w:t>
      </w:r>
    </w:p>
    <w:p>
      <w:pPr>
        <w:spacing w:after="0" w:line="27" w:lineRule="exact"/>
        <w:rPr>
          <w:rFonts w:ascii="Times New Roman" w:cs="Times New Roman" w:eastAsia="Times New Roman" w:hAnsi="Times New Roman"/>
          <w:sz w:val="18"/>
          <w:szCs w:val="18"/>
          <w:color w:val="0A2E94"/>
        </w:rPr>
      </w:pPr>
    </w:p>
    <w:p>
      <w:pPr>
        <w:jc w:val="both"/>
        <w:ind w:left="340" w:right="220" w:hanging="238"/>
        <w:spacing w:after="0" w:line="255" w:lineRule="auto"/>
        <w:tabs>
          <w:tab w:leader="none" w:pos="340" w:val="left"/>
        </w:tabs>
        <w:numPr>
          <w:ilvl w:val="0"/>
          <w:numId w:val="6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to the extent that we no longer qualify as a foreign private issuer, (i) certain reduced disclosure obligations regarding executive compensation in our periodic reports and, proxy statements and registration statements and (ii) exemptions from the requirements of holding a non-binding advisory vote on executive compensation, including golden parachute compensation.</w:t>
      </w:r>
    </w:p>
    <w:p>
      <w:pPr>
        <w:spacing w:after="0" w:line="1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cannot predict whether investors will find the ADSs less attractive if we rely on certain or all of these exemptions. If some investors find our ADSs less attractive as a result, there may be a less active trading market for the ADS and the trading price of the ADS may be more volatile.</w:t>
      </w:r>
    </w:p>
    <w:p>
      <w:pPr>
        <w:spacing w:after="0" w:line="158" w:lineRule="exact"/>
        <w:rPr>
          <w:sz w:val="20"/>
          <w:szCs w:val="20"/>
          <w:color w:val="auto"/>
        </w:rPr>
      </w:pPr>
    </w:p>
    <w:p>
      <w:pPr>
        <w:ind w:right="4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internal controls, our ability to produce accurate financial statements or comply with applicable regulations could be impaired.</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Sarbanes-Oxley Act, or Sarbanes-Oxley, requires our management to evaluate the effectiveness of our internal control over financial reporting and disclose its conclusions, which includes identifying any material weaknesses in our internal control over financial reporting. Beginning with the second annual report that we file with the SEC, our management will be required to provide an annual report on internal control over financial reporting, and in the future, our independent registered public accounting firm will be required to issue an annual report that addresses the effectiveness of our internal control over financial reporting.</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order to maintain and improve the effectiveness of our disclosure controls and procedures and internal control over financial reporting, we will need to expend significant resources and provide significant management oversight.</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controls may require specific compliance training of our directors and employees, entail substantial costs in order to modify our existing accounting systems, take a significant period of time to complete and divert management’s attention from other business concerns. These changes may not, however, be effective in maintaining the adequacy of our internal control and preventing fraud.</w:t>
      </w:r>
    </w:p>
    <w:p>
      <w:pPr>
        <w:spacing w:after="0" w:line="176"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If we are unable to conclude that we have effective internal control over financial reporting or, at the appropriate time, our independent auditors are unwilling or unable to provide us with an unqualified report on the effectiveness of our internal control over financial reporting as required by Sarbanes-Oxley, investors may lose confidence in our operating results, the price of the ADSs could decline and we may be subject to litigation or regulatory enforcement actions. In addition, if we are unable to meet the requirements of Sarbanes-Oxley, we may not be able to remain listed on Nasdaq.</w:t>
      </w:r>
    </w:p>
    <w:p>
      <w:pPr>
        <w:spacing w:after="0" w:line="16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investor confidence in us and, as a result, the value of our ADSs.</w:t>
      </w:r>
    </w:p>
    <w:p>
      <w:pPr>
        <w:spacing w:after="0" w:line="3" w:lineRule="exact"/>
        <w:rPr>
          <w:sz w:val="20"/>
          <w:szCs w:val="20"/>
          <w:color w:val="auto"/>
        </w:rPr>
      </w:pPr>
    </w:p>
    <w:p>
      <w:pPr>
        <w:ind w:left="20" w:right="280"/>
        <w:spacing w:after="0" w:line="277" w:lineRule="auto"/>
        <w:rPr>
          <w:sz w:val="20"/>
          <w:szCs w:val="20"/>
          <w:color w:val="auto"/>
        </w:rPr>
      </w:pPr>
      <w:r>
        <w:rPr>
          <w:rFonts w:ascii="Times New Roman" w:cs="Times New Roman" w:eastAsia="Times New Roman" w:hAnsi="Times New Roman"/>
          <w:sz w:val="17"/>
          <w:szCs w:val="17"/>
          <w:color w:val="auto"/>
        </w:rPr>
        <w:t>We have identified two material weaknesses in our internal control over financial reporting as of December 31, 2024. See “Item 15. Disclosure Controls and Procedures.”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identified a material weakness related to a lack of appropriately designed, implemented and documented procedures and controls at both the entity-level and process-level to allow us to achieve complete, accurate and timely financial reporting. These controls are necessary to ensure the accuracy and reliability of our financial reporting and compliance with applicable regulations. The material weakness has a pervasive impact on the financial statements, and if left unaddressed, could in the future impact our ability to safeguard assets, prevent and detect errors or fraud, and ensure the integrity of financial information.</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also identified a material weakness related to segregation of duties, which have not been sufficiently established across the key business and financial processes to maintain appropriate segregation of duties over certain manual and IT business controls. Segregation of duties is an internal control principle that helps prevent errors and fraud by dividing tasks and responsibilities among different individuals. In our current control environment, due to the size of our finance team, this segregation has not been adequately maintained. A consequence of the lack of segregation of duties is a heightened risk of fraud or material misstatement where no appropriate mitigating controls are in place. In particular, our IT business processes lack the necessary controls to ensure proper segregation of duties.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taken steps designed to mitigate the impact of the identified material weaknesses and strengthen our internal control over financial reporting. These measures include including hiring additional accounting and financial reporting personnel, investing in technology to enhance our financial systems and processes, introducing a formalized governance framework across the organization, establishing a compliance register to support accurate financial reporting and compliance with regulatory bodies, hiring a Manager of Global Sarbanes-Oxley Governance, Risk, and Controls and engaging a third-party firm to assist management in enhancing our Sarbanes-Oxley compliance framework.</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have developed and begun to implement a remediation plan designed to improve our internal control over financial reporting to remediate these material weaknesses. The remediation plan includes, and we have undertaken, (i) creating formal documentation of risks and controls related to internal control over financial reporting, (ii) developing and implementing a company-wide training program focused on Sarbanes-Oxley compliance and understanding of requirements, (iii) establishing the foundational processes and framework for management testing of our internal controls and (iv) identifying a technology to assist in evaluating segregation of duties within IT systems. Remediation measures are ongoing and include (i) continuing to enhance risk and control documentation practices related to internal control over financial reporting, (ii) strengthening the monitoring and management testing of controls and oversight mechanisms to promote ongoing compliance with internal control policies and procedures, (iii) continuing the annual Sarbanes-Oxley training program, (iv) conducting a comprehensive review of our existing roles and responsibilities to identify areas where segregation of duties is lacking or inadequate, (v) updating and enhancing process documentation to define roles, responsibilities, and segregation of duties requirements and (vi) exploring technology solutions and automation tools that can assist in achieving segregation of duties within our IT systems.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cannot provide assurance that the measures we have taken to date, and measures we plan to implement, will be sufficient to remediate the control deficiencies that led to the identified material weaknesses in our internal control over financial reporting or that they will prevent or avoid potential future material weaknesses. In addition, our independent registered public accounting firm has not performed an evaluation of our internal control over financial reporting in accordance with the provisions of the Sarbanes-Oxley Act because no such evaluation has been required. Had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 any future material weaknesses in our internal control over financial reporting, or identify any additional material weaknesses in the future, or otherwise fail to maintain an effective system of internal controls,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market price of our ADSs may decline as a result.</w:t>
      </w:r>
    </w:p>
    <w:p>
      <w:pPr>
        <w:spacing w:after="0" w:line="19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costs as a result of operating as a company whose ADSs are publicly traded in the United States, and our management has devoted and will continue to be required to devote substantial time to new compliance initiatives and corporate governance practices.</w:t>
      </w:r>
    </w:p>
    <w:p>
      <w:pPr>
        <w:ind w:right="40"/>
        <w:spacing w:after="0" w:line="251" w:lineRule="auto"/>
        <w:rPr>
          <w:sz w:val="20"/>
          <w:szCs w:val="20"/>
          <w:color w:val="auto"/>
        </w:rPr>
      </w:pPr>
      <w:r>
        <w:rPr>
          <w:rFonts w:ascii="Times New Roman" w:cs="Times New Roman" w:eastAsia="Times New Roman" w:hAnsi="Times New Roman"/>
          <w:sz w:val="18"/>
          <w:szCs w:val="18"/>
          <w:color w:val="auto"/>
        </w:rPr>
        <w:t>As a company whose ADSs are publicly traded in the United States, we have incurred and will continue to incur significant legal, accounting, insurance and other expenses that we did not previously incur. In addition, the Sarbanes-Oxley Act, Dodd-Frank Wall Street Reform and Consumer Protection Act and related rules implemented by the SEC, have imposed various requirements on public companies including requiring establishment and maintenance of effective disclosure and internal controls. Our management and other personnel will need to devote a substantial amount of time to these compliance initiatives, and we will need to add additional personnel and build our internal compliance infrastructure. Moreover, these rules and regulations will increase our legal and financial compliance costs and will make some activities more time-consuming and costly. These laws and regulations could also make it more difficult and expensive for us to attract and retain qualified persons to serve on our board of directors, our board committees or as our executive officers. Furthermore, if we are unable to satisfy our obligations as a public company in the United States. we could be subject to delisting of the ADSs, fines, sanctions and other regulatory action and potentially civil litigation.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dividends in the foreseeable future.</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do not anticipate paying dividends in the foreseeable future. We currently intend to retain future earnings, if any, to finance the development of our business. Dividends, if any, on our outstanding ordinary shares will be declared by and subject to the discretion of our board of directors on the basis of our earnings, financial requirements and other relevant factors, and subject to Australian law. As a result, a return on your investment will only occur if the ADS price appreciates. We cannot assure you that the ADSs will appreciate in value or even maintain the price at which you purchase the ADSs. You may not realize a return on your investment in the ADSs and you may even lose your entire investment in the ADSs.</w:t>
      </w:r>
    </w:p>
    <w:p>
      <w:pPr>
        <w:spacing w:after="0" w:line="18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reports about our business, or if they issue an adverse opinion about our business, the market price and trading volume of our ordinary shares or ADSs could decline.</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trading market for our ordinary shares and ADSs is influenced, in part, by the research and reports that securities or industry analysts publish about us or our business. Securities and industry analysts may discontinue research on us, to the extent such coverage currently exists, or in other cases, may never publish research on us. If no or too few securities or industry analysts cover our Company, the trading price for our ordinary shares and the ADSs would likely be negatively affected. If one or more of the analysts who cover us downgrade the ADSs or publish inaccurate or unfavorable research about our business, the market price of the ADSs would likely decline. If one or more of these analysts cease coverage of us or fail to publish reports on us regularly, demand for the ADSs could decrease, which might cause our ADS price and trading volume to decline.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transfers of the ADSs.</w:t>
      </w:r>
    </w:p>
    <w:p>
      <w:pPr>
        <w:spacing w:after="0" w:line="3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The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ectPr>
          <w:pgSz w:w="11900" w:h="16838" w:orient="portrait"/>
          <w:cols w:equalWidth="0" w:num="1">
            <w:col w:w="11200"/>
          </w:cols>
          <w:pgMar w:left="320" w:top="115" w:right="379" w:bottom="1440" w:gutter="0" w:footer="0" w:header="0"/>
        </w:sect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Constitution and Australian laws and regulations applicable to us may adversely affect our ability to take actions that could be beneficial to our shareholders and ADS holders.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an Australian company listed on the ASX, we are subject to different corporate requirements than a corporation organized under the laws of the United States. Our Constitution, as well as the Australian Corporations Act and ASX Listing Rules, set forth various rights and obligations that are applicable to us as an Australian company listed on the ASX. These requirements may operate differently than those of many U.S. companies. You should carefully review the summary of these matters set forth under the section entitled “Item 10. Additional Information — B. Memorandum and Articles of Association,” as well as our Constitution, which is included as an exhibit to this annual report, prior to investing in the ADSs.</w:t>
      </w:r>
    </w:p>
    <w:p>
      <w:pPr>
        <w:spacing w:after="0" w:line="183"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Australian takeover and foreign investment laws may discourage takeover offers being made for us or may discourage the acquisition of a significant position in our ordinary shares or ADSs.</w:t>
      </w:r>
    </w:p>
    <w:p>
      <w:pPr>
        <w:spacing w:after="0" w:line="1" w:lineRule="exact"/>
        <w:rPr>
          <w:sz w:val="20"/>
          <w:szCs w:val="20"/>
          <w:color w:val="auto"/>
        </w:rPr>
      </w:pPr>
    </w:p>
    <w:p>
      <w:pPr>
        <w:ind w:right="560"/>
        <w:spacing w:after="0" w:line="250" w:lineRule="auto"/>
        <w:rPr>
          <w:sz w:val="20"/>
          <w:szCs w:val="20"/>
          <w:color w:val="auto"/>
        </w:rPr>
      </w:pPr>
      <w:r>
        <w:rPr>
          <w:rFonts w:ascii="Times New Roman" w:cs="Times New Roman" w:eastAsia="Times New Roman" w:hAnsi="Times New Roman"/>
          <w:sz w:val="18"/>
          <w:szCs w:val="18"/>
          <w:color w:val="auto"/>
        </w:rPr>
        <w:t>We are incorporated in Australia and are subject to the takeover and foreign investment laws of Australia. Among other things, we are subject to the Australian Corporations Act and Foreign Acquisitions and Takeovers Act.</w:t>
      </w:r>
    </w:p>
    <w:p>
      <w:pPr>
        <w:spacing w:after="0" w:line="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Subject to a range of exceptions (including a takeover bid, scheme of arrangement or with shareholder approval), the takeover provisions in the Australian Corporations Act prohibit the acquisition of a direct or indirect interest in our issued voting shares if the acquisition of that interest will lead to a person’s voting power in us increasing from 20% or below to more than 20%, or increasing from a starting point that is above 20% and below 90%. Australian takeover and foreign investment laws may discourage takeover offers being made for us or may discourage or prevent the acquisition of a significant position in our ordinary shares. This may have the ancillary effect of entrenching our board of directors and may limit the ability of our shareholders and ADS holders to obtain a premium from a control transaction.</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currently report our financial results under IFRS Accounting Standards, which differs in certain significant respect from U.S. GAAP. </w:t>
      </w:r>
      <w:r>
        <w:rPr>
          <w:rFonts w:ascii="Times New Roman" w:cs="Times New Roman" w:eastAsia="Times New Roman" w:hAnsi="Times New Roman"/>
          <w:sz w:val="18"/>
          <w:szCs w:val="18"/>
          <w:color w:val="auto"/>
        </w:rPr>
        <w:t>Currently we report our financial statements under IFRS Accounting Standards. There have been and there may in the future be certain significant differences between IFRS Accounting Standards and U.S. GAAP, and those difference may be material. As a result, our financial information and reported earnings for historical or future periods could be significantly different if they were prepared in accordance with U.S. GAAP. In addition, we do not intend to provide a reconciliation between IFRS Accounting Standards and U.S. GAAP unless it is required under applicable law. As a result, you may not be able to meaningfully compare our financial statements under IFRS Accounting Standards with those companies that prepare financial statements under U.S. GAAP.</w:t>
      </w:r>
    </w:p>
    <w:p>
      <w:pPr>
        <w:spacing w:after="0" w:line="183"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a passive foreign investment company for any taxable year, which could result in adverse U.S. federal income tax consequences to U.S. investors.</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general, a corporation organized outside the United States will be classified for U.S. federal tax purposes as a passive foreign investment company, or PFIC, for any taxable year in which either (i) 75% or more of its gross income consists of “passive income,” or (ii) 50% or more of the value of its assets (generally determined on an average quarterly basis) consists of assets that produce, or are held for the production of, passive income. For purposes of the above calculations, a foreign corporation that owns (or is treated as owning) at least 25% by value of the shares of another corporation is treated as if it held its proportionate share of the assets of that other corporation and received directly its proportionate share of the income derived by that other corporation. “Passive income” generally includes dividends, interest, rents, royalties and certain gains. Cash is a passive asset for these purposes.</w:t>
      </w:r>
    </w:p>
    <w:p>
      <w:pPr>
        <w:spacing w:after="0" w:line="1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Based on the expected nature and amount of our estimated gross income, the anticipated nature and estimated average value of our gross assets, the anticipated cash needs of our group’s operations and the nature and extent of the active businesses conducted by our “25% or greater” owned subsidiaries, we do not expect that we will be classified as a PFIC in the current taxable year or for the foreseeable future. However, our PFIC status for any taxable year can be determined only after the end of such year and will depend on the composition of our income and assets and the value of our assets from time to time (which may be determined, in part, by reference to the market price of our ADSs or ordinary shares, which could be volatile). Furthermore, the composition of our income and assets for the current and future taxable years will be affected by how, and how quickly, we spend the cash we have on hand.</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Accordingly, there can be no assurance that we will not be a PFIC for our current or any future taxable year. If we were a PFIC for any taxable year during which a U.S. investor is treated as owning our ADSs or ordinary shares, the U.S. investor generally would be subject to adverse U.S. federal income tax consequences, possibly including increased tax liability on disposition gains and “excess distributions,” and additional reporting requirements. See “Item 10. Additional Information — E. Taxation.”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adversely affect our company and reduce net returns to our shareholders.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Organization for Economic Co-Operation and Development’s Base Erosion and Profit Shifting Project, the imposition of a minimum global effective rate for multinational businesses (Pillar Two) and other initiatives. Such changes may include (but are not limited to) the taxation of operating income, investment income, dividends received or (in the specific context of withholding tax) dividends paid. We are unable to predict what tax reforms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19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positions and conclusions regarding certain tax positions, or may apply existing rules in an unforeseen manner, resulting in unanticipated costs, taxes or non-realization of expected benefits.</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are subject to taxation in multiple jurisdictions. A tax authority may disagree with tax positions that we have taken, which could result in increased tax liabilities. For example, although we believe we are compliant with applicable transfer pricing requirements in various countries, a tax authority could challenge our allocation of income and the amounts paid between our affiliated companies pursuant to our intercompany arrangements and transfer pricing policies. In the event a tax authority assesses a deficiency, contesting such an assessment may be lengthy and costly and if we were unsuccessful in disputing the assessment, the implications could increase our anticipated effective tax rate, where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4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results of operations and prospects and the trading price of our ordinary shares and the ADS.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Global credit and financial markets have experienced extreme disruptions over the past several years. Such disruptions have resulted, and could in the future result, in diminished liquidity and credit availability, declines in consumer confidence, declines in economic growth, increases in unemployment rates and uncertainty about economic stability. Our general business strategy may be compromised by economic downturns, a volatile business environment and unpredictable and unstable market conditions, such as pandemics or epidemics of infectious diseases, ongoing or future wars or other geopolitical conflicts, rising inflation, increasing interest rates and slower economic growth or recession. If the equity and credit markets deteriorate, it may make any necessary equity or debt financing more difficult to secure, more costly or more dilutive. Failure to secure any necessary financing in a timely manner and on favorable terms could harm our growth strategy and financial performance and could require us to delay or abandon plans with respect to our business, including clinical development plans. In addition, there is a risk that one or more of our current service providers, manufacturers or other third parties with which we conduct business may not survive difficult economic times, including the current global situation resulting from epidemics or pandemics, ongoing or future wars or other geopolitical conflicts, and the uncertainty associated with current worldwide economic conditions, which could directly affect our ability to attain our operating goals on schedule and on budget.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Our operations and the operations of our suppliers, CROs, CMOs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and other natural or manmade disasters or business interruptions, for which we are predominantly self-insured. We rely on third-party manufacturers or suppliers to produce Illuccix and our product candidates and on CROs and clinical sites to conduct our clinical trials, and do not have a redundant source of supply for all components of our product candidates. Our ability to obtain sufficient supplies for Illuccix and our product candidates could be disrupted if the operations of these suppliers were affected by a man-made or natural disaster or other business interruption, and our ability to commence, conduct or complete our clinical trials in a timely manner could be similarly adversely affected by any of the foregoing. The occurrence of any of these business disruptions could seriously harm our operations and financial condition and increase our costs and expenses.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Global climate change, as well as increasing laws, regulation and litigation in the area of climate change, may have an adverse effect on our results of operations, financial condition or liquidity.</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There is widespread consensus in the scientific community that there is a long-term upward trend in global air and sea temperatures that, along with shifting demographic trends in catastrophe exposed regions, has increased the severity and frequency of severe weather events and other natural catastrophes, and is likely to further increase the average economic value of expected losses in the future. Rising sea levels are also expected to increase the risk of coastal flooding in many geographical areas. Extreme weather events can disrupt business continuity by negatively impacting our infrastructure, systems and processes including, but not limited to, manufacturing and supply arrangements in geographical locations exposed to severe weather events. In addition, global climate change could impair our ability to predict the costs associated with future weather events. We cannot predict with certainty the frequency or severity of hurricanes, tropical cyclones, wildfires or other natural catastrophes, and our risk assessments may not accurately reflect shifting environmental and climate related risks. Unanticipated factors could lead to additional insured losses that exceed our current estimates, resulting in disruptions to or adverse impacts on our business, the market or our third-party collaborators.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History and Development of the Company</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legal name is Telix Pharmaceuticals Limited. Our company was incorporated under the laws of Australia in January 2017. In November 2017, we completed an initial public offering of our ordinary shares and the listing of our ordinary shares on the ASX. Since November 13, 2024, we have been dual listed with our ADSs listed on the Nasdaq Global Select Market, with each ADS representing one of our ordinary shares. JP Morgan Chase Bank, N.A., acts as depositary for the ADSs.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corporate headquarters and registered offices are located at 55 Flemington Road, North Melbourne, Victoria, 3051, Australia. Our reception telephone number is +61 3 9093 3855. Our agent for service of process in the United States is Telix Pharmaceuticals (US) Inc., located at 11700 Exit 5 Pkwy, Suite 200, Fishers, Indiana 46037. Our website address is www.telixpharma.com. All information we file with the SEC is available through the SEC’s Electronic Data Gathering, Analysis and Retrieval system, which may be accessed through the SEC’s website at www.sec.gov.</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majority of our workforce is in the United States, based out of our U.S. headquarters in Indianapolis, Indiana, our R&amp;D facilities in Angleton, Texas and Sacramento, California, working remotely, or in one of our network of radiopharmacies that we acquired in January 2025 as part of our acquisition of RLS. We also have facilities in Australia (Melbourne, Sydney and Brisbane), Belgium (Brussels and Liège), Switzerland (Geneva), Japan (Kyoto) and Canada (Vancouver).</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See “— B. Business Overview” (below) for a discussion of significant events and developments relating to our business and “Item 5. Operating and Financial Review and Prospects — B. Liquidity and Capital Resources” for a discussion of our capital expenditures.</w:t>
      </w:r>
    </w:p>
    <w:p>
      <w:pPr>
        <w:spacing w:after="0" w:line="158" w:lineRule="exact"/>
        <w:rPr>
          <w:sz w:val="20"/>
          <w:szCs w:val="20"/>
          <w:color w:val="auto"/>
        </w:rPr>
      </w:pPr>
    </w:p>
    <w:p>
      <w:pPr>
        <w:ind w:left="360" w:hanging="352"/>
        <w:spacing w:after="0"/>
        <w:tabs>
          <w:tab w:leader="none" w:pos="3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a global, commercial-stage biopharmaceutical company, focused on the development and commercialization of therapeutic and diagnostic radiopharmaceuticals and associated medical technologies. We are committed to the principles of precision oncology. By this we mean developing both therapeutic and diagnostic modalities for the benefit of patients, an innovative precision medicine concept generally referred to as ‘theranostics’.</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As an established leader and innovator in this field, Telix is differentiated by our deep expertise in radiopharmaceutical drug development and commercialization, our innovative pipeline that spans the cancer care continuum, and our ability to deliver patient outcomes globally. In order to achieve our mission and deliver on our strategy, Telix has structured the business into five operating segments: Therapeutics (Tx), Precision Medicine (Px), International, MedTech and Telix Manufacturing Solutions (TMS). We will be reporting financial results by the three reportable segments: Tx, Px (including International and MedTech) and TMS. A brief overview is provided below.</w:t>
      </w:r>
    </w:p>
    <w:p>
      <w:pPr>
        <w:spacing w:after="0" w:line="179" w:lineRule="exact"/>
        <w:rPr>
          <w:sz w:val="20"/>
          <w:szCs w:val="20"/>
          <w:color w:val="auto"/>
        </w:rPr>
      </w:pPr>
    </w:p>
    <w:p>
      <w:pPr>
        <w:ind w:left="340" w:right="320" w:hanging="238"/>
        <w:spacing w:after="0" w:line="263" w:lineRule="auto"/>
        <w:tabs>
          <w:tab w:leader="none" w:pos="340" w:val="left"/>
        </w:tabs>
        <w:numPr>
          <w:ilvl w:val="0"/>
          <w:numId w:val="6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b w:val="1"/>
          <w:bCs w:val="1"/>
          <w:color w:val="auto"/>
        </w:rPr>
        <w:t xml:space="preserve">Therapeutics </w:t>
      </w:r>
      <w:r>
        <w:rPr>
          <w:rFonts w:ascii="Times New Roman" w:cs="Times New Roman" w:eastAsia="Times New Roman" w:hAnsi="Times New Roman"/>
          <w:sz w:val="18"/>
          <w:szCs w:val="18"/>
          <w:color w:val="auto"/>
        </w:rPr>
        <w:t>are at the core of the Telix portfolio, as we work to improve and extend patient life. We are currently focused on developing targeted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radionuclide therapies for urologic, neurologic, musculoskeletal and hematological cancers.</w:t>
      </w:r>
    </w:p>
    <w:p>
      <w:pPr>
        <w:jc w:val="both"/>
        <w:ind w:left="340" w:hanging="238"/>
        <w:spacing w:after="0" w:line="250"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Precision Medicine </w:t>
      </w:r>
      <w:r>
        <w:rPr>
          <w:rFonts w:ascii="Times New Roman" w:cs="Times New Roman" w:eastAsia="Times New Roman" w:hAnsi="Times New Roman"/>
          <w:sz w:val="18"/>
          <w:szCs w:val="18"/>
          <w:color w:val="auto"/>
        </w:rPr>
        <w:t>is focused on bringing diagnostic imaging solutions to market, as this is the key to informing treatment decisions and selecting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patients for therapy. It therefore plays a fundamental role in managing patients and delivering personalized therapeutic solutions. </w:t>
      </w:r>
      <w:r>
        <w:rPr>
          <w:rFonts w:ascii="Times New Roman" w:cs="Times New Roman" w:eastAsia="Times New Roman" w:hAnsi="Times New Roman"/>
          <w:sz w:val="18"/>
          <w:szCs w:val="18"/>
          <w:b w:val="1"/>
          <w:bCs w:val="1"/>
          <w:color w:val="auto"/>
        </w:rPr>
        <w:t>MedTech</w:t>
      </w:r>
      <w:r>
        <w:rPr>
          <w:rFonts w:ascii="Times New Roman" w:cs="Times New Roman" w:eastAsia="Times New Roman" w:hAnsi="Times New Roman"/>
          <w:sz w:val="18"/>
          <w:szCs w:val="18"/>
          <w:color w:val="auto"/>
        </w:rPr>
        <w:t xml:space="preserve"> provides surgical solutions and digital products that power Telix’s precision medicines and therapeutics. </w:t>
      </w:r>
      <w:r>
        <w:rPr>
          <w:rFonts w:ascii="Times New Roman" w:cs="Times New Roman" w:eastAsia="Times New Roman" w:hAnsi="Times New Roman"/>
          <w:sz w:val="18"/>
          <w:szCs w:val="18"/>
          <w:b w:val="1"/>
          <w:bCs w:val="1"/>
          <w:color w:val="auto"/>
        </w:rPr>
        <w:t>International</w:t>
      </w:r>
      <w:r>
        <w:rPr>
          <w:rFonts w:ascii="Times New Roman" w:cs="Times New Roman" w:eastAsia="Times New Roman" w:hAnsi="Times New Roman"/>
          <w:sz w:val="18"/>
          <w:szCs w:val="18"/>
          <w:color w:val="auto"/>
        </w:rPr>
        <w:t xml:space="preserve"> is focused on “rest of world” (ex-U.S.) commercial operations for Europe, Middle East and Africa (EMEA), Asia Pacific (APAC) and Latin America regions.</w:t>
      </w:r>
    </w:p>
    <w:p>
      <w:pPr>
        <w:spacing w:after="0" w:line="1" w:lineRule="exact"/>
        <w:rPr>
          <w:rFonts w:ascii="Times New Roman" w:cs="Times New Roman" w:eastAsia="Times New Roman" w:hAnsi="Times New Roman"/>
          <w:sz w:val="18"/>
          <w:szCs w:val="18"/>
          <w:color w:val="auto"/>
        </w:rPr>
      </w:pPr>
    </w:p>
    <w:p>
      <w:pPr>
        <w:ind w:left="340" w:right="40" w:hanging="238"/>
        <w:spacing w:after="0" w:line="253" w:lineRule="auto"/>
        <w:tabs>
          <w:tab w:leader="none" w:pos="340" w:val="left"/>
        </w:tabs>
        <w:numPr>
          <w:ilvl w:val="0"/>
          <w:numId w:val="6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b w:val="1"/>
          <w:bCs w:val="1"/>
          <w:color w:val="auto"/>
        </w:rPr>
        <w:t xml:space="preserve">Telix Manufacturing Solutions </w:t>
      </w:r>
      <w:r>
        <w:rPr>
          <w:rFonts w:ascii="Times New Roman" w:cs="Times New Roman" w:eastAsia="Times New Roman" w:hAnsi="Times New Roman"/>
          <w:sz w:val="18"/>
          <w:szCs w:val="18"/>
          <w:color w:val="auto"/>
        </w:rPr>
        <w:t>is our global network of facilities designed to deliver patient doses worldwide. We are investing in building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capacity, as well as improving the technology and processes to allow us to deliver therapies at scale, including next-generation alpha therapies. This investment in world-class infrastructure is helping Telix to develop new products and secure critical supplies required to commercialize the future of cancer treatments.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commitment to end-to-end treatment differentiates Telix and is at the core of our radiopharmaceutical approach.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Pipeline</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portfolio includes both therapeutic and diagnostic radiopharmaceutical product candidates designed for use throughout the continuum of the patient journey, from diagnosis and staging to treatment and ongoing care. We also intend to use our therapeutic and diagnostic radiopharmaceutical product candidates in combination with one another, as a theranostic treatment approach. Our clinical programs include several product candidates that are being evaluated in Phase 2 and Phase 3 clinical trials with multiple expected upcoming data readouts and regulatory filings.</w:t>
      </w:r>
    </w:p>
    <w:p>
      <w:pPr>
        <w:spacing w:after="0" w:line="18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For most of our programs, particularly the prostate and kidney programs, we have generated extensive clinical data that we believe demonstrate the potential of our product candidates to offer meaningful benefits to patients. We believe the targets and indications we are pursuing are well validated and are well suited for the delivery of therapeutic and diagnostic targeted radiation. We believe that our use of imaging to select patients for therapy is also a differentiated aspect of our commercial strategy. We believe that this precision medicine or theranostic approach may increase the potential of our therapeutic development programs, as patients can be selected for therapy with greater confidence that the drug target is sufficiently present to potentially confer therapeutic benefit. This may, in turn, lead to more streamlined and efficient clinical trials, and enable improved patient outcomes.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core development pipeline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120765" cy="86582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20765" cy="8658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 xml:space="preserve">In addition to the development pipeline above, we are also exploring product and indication expansion opportunities with our late-stage diagnostic portfolio through our lifecycle management programs, including TLX007-CDx, which is a new </w:t>
      </w:r>
      <w:r>
        <w:rPr>
          <w:rFonts w:ascii="Times New Roman" w:cs="Times New Roman" w:eastAsia="Times New Roman" w:hAnsi="Times New Roman"/>
          <w:sz w:val="29"/>
          <w:szCs w:val="29"/>
          <w:color w:val="auto"/>
          <w:vertAlign w:val="superscript"/>
        </w:rPr>
        <w:t>68</w:t>
      </w:r>
      <w:r>
        <w:rPr>
          <w:rFonts w:ascii="Times New Roman" w:cs="Times New Roman" w:eastAsia="Times New Roman" w:hAnsi="Times New Roman"/>
          <w:sz w:val="18"/>
          <w:szCs w:val="18"/>
          <w:color w:val="auto"/>
        </w:rPr>
        <w:t xml:space="preserve">Ga-based PSMA-PET imaging agent for prostate cancer with its own NDA. TLX007-CDx contains a different formulation and higher radioactivity compared to Illuccix and is expected to have an extended distribution profile compared to currently approved </w:t>
      </w:r>
      <w:r>
        <w:rPr>
          <w:rFonts w:ascii="Times New Roman" w:cs="Times New Roman" w:eastAsia="Times New Roman" w:hAnsi="Times New Roman"/>
          <w:sz w:val="29"/>
          <w:szCs w:val="29"/>
          <w:color w:val="auto"/>
          <w:vertAlign w:val="superscript"/>
        </w:rPr>
        <w:t>68</w:t>
      </w:r>
      <w:r>
        <w:rPr>
          <w:rFonts w:ascii="Times New Roman" w:cs="Times New Roman" w:eastAsia="Times New Roman" w:hAnsi="Times New Roman"/>
          <w:sz w:val="18"/>
          <w:szCs w:val="18"/>
          <w:color w:val="auto"/>
        </w:rPr>
        <w:t xml:space="preserve">Ga-based PSMA-PET imaging agents due to the higher radioactivity and the use of </w:t>
      </w:r>
      <w:r>
        <w:rPr>
          <w:rFonts w:ascii="Times New Roman" w:cs="Times New Roman" w:eastAsia="Times New Roman" w:hAnsi="Times New Roman"/>
          <w:sz w:val="29"/>
          <w:szCs w:val="29"/>
          <w:color w:val="auto"/>
          <w:vertAlign w:val="superscript"/>
        </w:rPr>
        <w:t>68</w:t>
      </w:r>
      <w:r>
        <w:rPr>
          <w:rFonts w:ascii="Times New Roman" w:cs="Times New Roman" w:eastAsia="Times New Roman" w:hAnsi="Times New Roman"/>
          <w:sz w:val="18"/>
          <w:szCs w:val="18"/>
          <w:color w:val="auto"/>
        </w:rPr>
        <w:t>Ga sourced from newer high activity generators and cyclotrons. Our lifecycle management program also includes two substantial prostate cancer indications for Illuccix, a staging indication for TLX250-CDx, and an expansion into brain metastases for TLX101-CDx.</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Prostate Cancer and PSMA</w:t>
      </w:r>
    </w:p>
    <w:p>
      <w:pPr>
        <w:spacing w:after="0" w:line="31"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color w:val="auto"/>
        </w:rPr>
        <w:t>Our prostate cancer programs target PSMA, a well-validated protein target for the delivery of both therapeutic and diagnostic radiopharmaceuticals that is highly expressed on prostate cancer cells with low expression on healthy cells. We believe that our approach to targeting PSMA is unique because we use a</w:t>
      </w:r>
    </w:p>
    <w:p>
      <w:pPr>
        <w:sectPr>
          <w:pgSz w:w="11900" w:h="16838" w:orient="portrait"/>
          <w:cols w:equalWidth="0" w:num="1">
            <w:col w:w="11220"/>
          </w:cols>
          <w:pgMar w:left="320" w:top="115" w:right="359" w:bottom="0" w:gutter="0" w:footer="0" w:header="0"/>
        </w:sectPr>
      </w:pPr>
    </w:p>
    <w:bookmarkStart w:id="96" w:name="page97"/>
    <w:bookmarkEnd w:id="96"/>
    <w:p>
      <w:pPr>
        <w:ind w:right="620"/>
        <w:spacing w:after="0" w:line="282" w:lineRule="auto"/>
        <w:rPr>
          <w:sz w:val="20"/>
          <w:szCs w:val="20"/>
          <w:color w:val="auto"/>
        </w:rPr>
      </w:pPr>
      <w:r>
        <w:rPr>
          <w:rFonts w:ascii="Times New Roman" w:cs="Times New Roman" w:eastAsia="Times New Roman" w:hAnsi="Times New Roman"/>
          <w:sz w:val="18"/>
          <w:szCs w:val="18"/>
          <w:color w:val="auto"/>
        </w:rPr>
        <w:t>small molecule targeting ligand for imaging and an antibody for our therapeutic product candidate. Our use of a small molecule targeting ligand for imaging enables rapid targeting and clearance of the payload to produce sharp images for PET scanning in the diagnostic setting.</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contrast, using an antibody in the therapeutic setting is intended to allow for specific targeting of tumor tissue, differentiated pharmacokinetics and excretion profiles and prolonged treatment effect enabled by efficient irradiation of tumors.</w:t>
      </w:r>
    </w:p>
    <w:p>
      <w:pPr>
        <w:spacing w:after="0" w:line="152"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8"/>
          <w:szCs w:val="18"/>
          <w:color w:val="auto"/>
        </w:rPr>
        <w:t>Our lead therapeutic product candidate TLX591 (</w:t>
      </w:r>
      <w:r>
        <w:rPr>
          <w:rFonts w:ascii="Times New Roman" w:cs="Times New Roman" w:eastAsia="Times New Roman" w:hAnsi="Times New Roman"/>
          <w:sz w:val="29"/>
          <w:szCs w:val="29"/>
          <w:color w:val="auto"/>
          <w:vertAlign w:val="superscript"/>
        </w:rPr>
        <w:t>177</w:t>
      </w:r>
      <w:r>
        <w:rPr>
          <w:rFonts w:ascii="Times New Roman" w:cs="Times New Roman" w:eastAsia="Times New Roman" w:hAnsi="Times New Roman"/>
          <w:sz w:val="18"/>
          <w:szCs w:val="18"/>
          <w:color w:val="auto"/>
        </w:rPr>
        <w:t>Lu rosopatamab tetraxetan) is a lutetium-labelled rADC that we believe has the potential to deliver improved patient outcomes with an efficient dosing regimen. The targeting and pharmacology of TLX591 differs significantly from PSMA-targeting small molecules used in commercially available compounds, and was designed for high internalization, long retention and to be highly selective for tumor-expressed PSMA. This profile was designed with the goal of enabling a short, patient-friendly dosing regimen that delivers a meaningful therapeutic index and low occurrence of the off-target side effects that are common with currently marketed small molecule PSMA radiopharmaceuticals.</w:t>
      </w:r>
    </w:p>
    <w:p>
      <w:pPr>
        <w:spacing w:after="0" w:line="20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TLX591 has been evaluated in 242 patients across eight clinical trials. An open-label, single-arm Phase 1/2 clinical trial with six experimental dose cohorts of TLX591 reported a 42.3 month median survival in 17 patients with advanced metastatic castrate-resistant prostate cancer, or mCRPC, treated at the higher dose level when TLX591 was delivered under a fractionated dosing regimen. Median survival was 19.6 months at the lower dose level and was 27.8 months across those dose cohorts. At the higher dose level, 23.5% and 35.3% of patients had Grade 3 and 4 neutropenia, respectively, and 29.4% and</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58.8% of patients had Grade 3 and 4 thrombocytopenia, respectively. The trial met its primary endpoint, which was to identify the maximum tolerated dose, or MTD, of TLX591 when administered in two doses two weeks apart. The survival benefits were a secondary endpoint. This trial did not contain a control group and was not powered to measure statistical significance of the survival benefit, which is a limitation of single-arm trials.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20" w:right="40"/>
        <w:spacing w:after="0" w:line="253" w:lineRule="auto"/>
        <w:rPr>
          <w:sz w:val="20"/>
          <w:szCs w:val="20"/>
          <w:color w:val="auto"/>
        </w:rPr>
      </w:pPr>
      <w:r>
        <w:rPr>
          <w:rFonts w:ascii="Times New Roman" w:cs="Times New Roman" w:eastAsia="Times New Roman" w:hAnsi="Times New Roman"/>
          <w:sz w:val="18"/>
          <w:szCs w:val="18"/>
          <w:color w:val="auto"/>
        </w:rPr>
        <w:t>In November 2023, we initiated a randomized, multinational, multicenter, open-label Phase 3 trial, which we refer to as the ProstACT GLOBAL trial, to evaluate TLX591 for the treatment of PSMA-positive mCRPC patients in combination with the standard of care compared to the standard of care alone. We expect this trial to enroll 30 patients in a dosimetry and safety lead-in portion replicating the prior study using the product candidate specifications intended for commercial release and then proceed to a randomized treatment expansion portion, in up to approximately 490 patients. We dosed the first patient in the trial in Australia in November 2023. We received authorization to conduct the trial in the United States in April 2024 and are actively dosing patients at multiple clinical trial sites. We dosed the first patient in a Phase 1 trial evaluating the safety and tolerability profile of TLX591 in combination with the standard of care in mCRPC patients in January 2022, which we refer to as the ProstACT SELECT trial. In October 2023, we reported interim data from 28 evaluable patients out of 30 patients enrolled in two cohorts in the ProstACT SELECT trial of TLX591 with two doses administered 14 days apart. Based on the interim data, the trial appears to have achieved its primary safety and tolerability objectives. In May 2024, we reported that the trial demonstrated a median radiographic progression-free survival of 8.8 months, a secondary objective of the trial, based on an evaluable patient population of 23 patients who each received two 76 mCi doses of TLX591.</w:t>
      </w:r>
    </w:p>
    <w:p>
      <w:pPr>
        <w:spacing w:after="0" w:line="19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the primary goal of a Phase 1 study is to demonstrate safety and tolerability criteria in a small patient population, these studies are not powered for or designed to demonstrate efficacy. Early-stage trial results should be interpreted with caution and efficacy outcomes should be evaluated for statistical and clinical significance in a larger Phase 3 randomized controlled trial.</w:t>
      </w:r>
    </w:p>
    <w:p>
      <w:pPr>
        <w:spacing w:after="0" w:line="166"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TLX592 (</w:t>
      </w:r>
      <w:r>
        <w:rPr>
          <w:rFonts w:ascii="Times New Roman" w:cs="Times New Roman" w:eastAsia="Times New Roman" w:hAnsi="Times New Roman"/>
          <w:sz w:val="29"/>
          <w:szCs w:val="29"/>
          <w:color w:val="auto"/>
          <w:vertAlign w:val="superscript"/>
        </w:rPr>
        <w:t>64</w:t>
      </w:r>
      <w:r>
        <w:rPr>
          <w:rFonts w:ascii="Times New Roman" w:cs="Times New Roman" w:eastAsia="Times New Roman" w:hAnsi="Times New Roman"/>
          <w:sz w:val="18"/>
          <w:szCs w:val="18"/>
          <w:color w:val="auto"/>
        </w:rPr>
        <w:t>Cu/</w:t>
      </w:r>
      <w:r>
        <w:rPr>
          <w:rFonts w:ascii="Times New Roman" w:cs="Times New Roman" w:eastAsia="Times New Roman" w:hAnsi="Times New Roman"/>
          <w:sz w:val="29"/>
          <w:szCs w:val="29"/>
          <w:color w:val="auto"/>
          <w:vertAlign w:val="superscript"/>
        </w:rPr>
        <w:t>225</w:t>
      </w:r>
      <w:r>
        <w:rPr>
          <w:rFonts w:ascii="Times New Roman" w:cs="Times New Roman" w:eastAsia="Times New Roman" w:hAnsi="Times New Roman"/>
          <w:sz w:val="18"/>
          <w:szCs w:val="18"/>
          <w:color w:val="auto"/>
        </w:rPr>
        <w:t>Ac-RADmAb), is our next generation prostate cancer therapy candidate for targeted alpha therapy and is our first clinical program based on our proprietary RADmAb-engineered antibody technology. The engineered antibody vector is designed for faster elimination from circulation than standard antibodies and slower elimination than small molecules that may result in side effects. It is also designed to enable reduced bone marrow residence time to mitigate the risk of hematologic toxicity while retaining PSMA-mediated tumor localization and exertion of cytotoxic activity. TLX592 is designed to be cleared by the liver without exocrine uptake.</w:t>
      </w:r>
    </w:p>
    <w:p>
      <w:pPr>
        <w:spacing w:after="0" w:line="193"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18"/>
          <w:szCs w:val="18"/>
          <w:color w:val="auto"/>
        </w:rPr>
        <w:t>We conducted the Phase 1 CUPID trial in which we evaluated TLX592 with a beta-emitting isotope (</w:t>
      </w:r>
      <w:r>
        <w:rPr>
          <w:rFonts w:ascii="Times New Roman" w:cs="Times New Roman" w:eastAsia="Times New Roman" w:hAnsi="Times New Roman"/>
          <w:sz w:val="29"/>
          <w:szCs w:val="29"/>
          <w:color w:val="auto"/>
          <w:vertAlign w:val="superscript"/>
        </w:rPr>
        <w:t>64</w:t>
      </w:r>
      <w:r>
        <w:rPr>
          <w:rFonts w:ascii="Times New Roman" w:cs="Times New Roman" w:eastAsia="Times New Roman" w:hAnsi="Times New Roman"/>
          <w:sz w:val="18"/>
          <w:szCs w:val="18"/>
          <w:color w:val="auto"/>
        </w:rPr>
        <w:t xml:space="preserve">Cu) in 12 patients with advanced prostate cancer prior to commencing therapeutic studies with </w:t>
      </w:r>
      <w:r>
        <w:rPr>
          <w:rFonts w:ascii="Times New Roman" w:cs="Times New Roman" w:eastAsia="Times New Roman" w:hAnsi="Times New Roman"/>
          <w:sz w:val="29"/>
          <w:szCs w:val="29"/>
          <w:color w:val="auto"/>
          <w:vertAlign w:val="superscript"/>
        </w:rPr>
        <w:t>225</w:t>
      </w:r>
      <w:r>
        <w:rPr>
          <w:rFonts w:ascii="Times New Roman" w:cs="Times New Roman" w:eastAsia="Times New Roman" w:hAnsi="Times New Roman"/>
          <w:sz w:val="18"/>
          <w:szCs w:val="18"/>
          <w:color w:val="auto"/>
        </w:rPr>
        <w:t xml:space="preserve">Ac, an alpha-emitting isotope. We treated patients with PSMA avid disease based on Illuccix imaging, across three dose levels to assess safety profile, pharmacokinetics, biodistribution and dosimetry. In May 2024, we reported that, based on preliminary results from 11 evaluable patients, we observed accelerated elimination from blood circulation compared to the standard antibody used with TLX591 and observed similar on-target and off-target biodistribution and liver clearance, which we believe are important characteristics for an alpha-emitting agent. The trial established a baseline dosing schedule for future trials of TLX592 using </w:t>
      </w:r>
      <w:r>
        <w:rPr>
          <w:rFonts w:ascii="Times New Roman" w:cs="Times New Roman" w:eastAsia="Times New Roman" w:hAnsi="Times New Roman"/>
          <w:sz w:val="29"/>
          <w:szCs w:val="29"/>
          <w:color w:val="auto"/>
          <w:vertAlign w:val="superscript"/>
        </w:rPr>
        <w:t>225</w:t>
      </w:r>
      <w:r>
        <w:rPr>
          <w:rFonts w:ascii="Times New Roman" w:cs="Times New Roman" w:eastAsia="Times New Roman" w:hAnsi="Times New Roman"/>
          <w:sz w:val="18"/>
          <w:szCs w:val="18"/>
          <w:color w:val="auto"/>
        </w:rPr>
        <w:t xml:space="preserve">Ac. The goal of this Phase 1 trial was to evaluate safety and demonstrate proof-of-concept in a small patient population. Phase 1 proof-of-concept trial results should be interpreted with caution. We plan to initiate a Phase 1/2 trial designed to evaluate the safety profile of </w:t>
      </w:r>
      <w:r>
        <w:rPr>
          <w:rFonts w:ascii="Times New Roman" w:cs="Times New Roman" w:eastAsia="Times New Roman" w:hAnsi="Times New Roman"/>
          <w:sz w:val="29"/>
          <w:szCs w:val="29"/>
          <w:color w:val="auto"/>
          <w:vertAlign w:val="superscript"/>
        </w:rPr>
        <w:t>225</w:t>
      </w:r>
      <w:r>
        <w:rPr>
          <w:rFonts w:ascii="Times New Roman" w:cs="Times New Roman" w:eastAsia="Times New Roman" w:hAnsi="Times New Roman"/>
          <w:sz w:val="18"/>
          <w:szCs w:val="18"/>
          <w:color w:val="auto"/>
        </w:rPr>
        <w:t>Ac-labelled TLX592 in the second half of 2025, subject to regulatory approval.</w:t>
      </w:r>
    </w:p>
    <w:p>
      <w:pPr>
        <w:spacing w:after="0" w:line="66"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 xml:space="preserve">Our prostate cancer portfolio also includes Illuccix, our commercially available </w:t>
      </w:r>
      <w:r>
        <w:rPr>
          <w:rFonts w:ascii="Times New Roman" w:cs="Times New Roman" w:eastAsia="Times New Roman" w:hAnsi="Times New Roman"/>
          <w:sz w:val="29"/>
          <w:szCs w:val="29"/>
          <w:color w:val="auto"/>
          <w:vertAlign w:val="superscript"/>
        </w:rPr>
        <w:t>68</w:t>
      </w:r>
      <w:r>
        <w:rPr>
          <w:rFonts w:ascii="Times New Roman" w:cs="Times New Roman" w:eastAsia="Times New Roman" w:hAnsi="Times New Roman"/>
          <w:sz w:val="18"/>
          <w:szCs w:val="18"/>
          <w:color w:val="auto"/>
        </w:rPr>
        <w:t>Ga-labelled PSMA-PET imaging agent. The “cold kit” format of Illuccix enables rapid radiolabeling at room temperature with high radiochemical purity and production consistency, suited to the commercial and hospital radiopharmacy setting. Illuccix is approved in the United States, Australia, Canada, and the United Kingdom, and in January 2025, we received a positive decision on our MAA for Illuccix submitted in Europe via a decentralized procedure, with Illuccix subsequently approved at a national level in Denmark and Norway. We anticipate receiving approval in other local European Economic Area Member States beginning in the first quarter of 2025, and in Brazil during calendar year 2025. Approved indications for patients with prostate cancer include staging of high-risk patients, identification of suspected recurrence, and selection for PSMA-directed radioligand therapy. We are also exploring potential future utilization in additional indications for prostate cancer patients through our lifecycle management program. These include monitoring progression in metastatic and non-metastatic castration resistant patients and monitoring response to PSMA-directed radioligand therapy.</w:t>
      </w:r>
    </w:p>
    <w:p>
      <w:pPr>
        <w:spacing w:after="0" w:line="205" w:lineRule="exact"/>
        <w:rPr>
          <w:sz w:val="20"/>
          <w:szCs w:val="20"/>
          <w:color w:val="auto"/>
        </w:rPr>
      </w:pPr>
    </w:p>
    <w:p>
      <w:pPr>
        <w:ind w:right="300"/>
        <w:spacing w:after="0" w:line="213" w:lineRule="auto"/>
        <w:rPr>
          <w:sz w:val="20"/>
          <w:szCs w:val="20"/>
          <w:color w:val="auto"/>
        </w:rPr>
      </w:pPr>
      <w:r>
        <w:rPr>
          <w:rFonts w:ascii="Times New Roman" w:cs="Times New Roman" w:eastAsia="Times New Roman" w:hAnsi="Times New Roman"/>
          <w:sz w:val="18"/>
          <w:szCs w:val="18"/>
          <w:color w:val="auto"/>
        </w:rPr>
        <w:t xml:space="preserve">We are developing TLX007-CDx, a new cold kit for the preparation of PSMA-PET imaging for prostate cancer. TLX007-CDx is designed to have an extended distribution profile compared to currently approved </w:t>
      </w:r>
      <w:r>
        <w:rPr>
          <w:rFonts w:ascii="Times New Roman" w:cs="Times New Roman" w:eastAsia="Times New Roman" w:hAnsi="Times New Roman"/>
          <w:sz w:val="29"/>
          <w:szCs w:val="29"/>
          <w:color w:val="auto"/>
          <w:vertAlign w:val="superscript"/>
        </w:rPr>
        <w:t>68</w:t>
      </w:r>
      <w:r>
        <w:rPr>
          <w:rFonts w:ascii="Times New Roman" w:cs="Times New Roman" w:eastAsia="Times New Roman" w:hAnsi="Times New Roman"/>
          <w:sz w:val="18"/>
          <w:szCs w:val="18"/>
          <w:color w:val="auto"/>
        </w:rPr>
        <w:t xml:space="preserve">Ga PSMA-PET imaging agents due to the use of </w:t>
      </w:r>
      <w:r>
        <w:rPr>
          <w:rFonts w:ascii="Times New Roman" w:cs="Times New Roman" w:eastAsia="Times New Roman" w:hAnsi="Times New Roman"/>
          <w:sz w:val="29"/>
          <w:szCs w:val="29"/>
          <w:color w:val="auto"/>
          <w:vertAlign w:val="superscript"/>
        </w:rPr>
        <w:t>68</w:t>
      </w:r>
      <w:r>
        <w:rPr>
          <w:rFonts w:ascii="Times New Roman" w:cs="Times New Roman" w:eastAsia="Times New Roman" w:hAnsi="Times New Roman"/>
          <w:sz w:val="18"/>
          <w:szCs w:val="18"/>
          <w:color w:val="auto"/>
        </w:rPr>
        <w:t>Ga sourced from newer high activity generators and cyclotrons.</w:t>
      </w:r>
    </w:p>
    <w:p>
      <w:pPr>
        <w:spacing w:after="0" w:line="20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believe that TLX007-CDx may further expand the availability and distribution of PSMA-PET imaging due to its longer shelf life and resulting expanded distribution radius. We believe that TLX007-CDx has the potential to address unmet needs by extending availability of PSMA-PET imaging to substantially all PET/CT locations in the United States. Many PET/CT imaging sites that are not served by approved PSMA-PET imaging agents are located in rural and underserved areas.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a Phase 1 clinical trial of TLX007-CDx to compare the biodistribution of TLX007-CDx and Illuccix in normal tissues and major organs, and in prostate cancer deposits. This trial met its primary objective by demonstrating that there were no differences between TLX007-CDx and Illuccix in the biodistribution in normal tissues and organs, or in prostate cancer deposits, based on 11 evaluable patients. In May 2024, based on the results of such trial, we submitted an NDA to the FDA for TLX007-CDx for the imaging of patients with prostate cancer. As the primary goal of a Phase 1 study is to demonstrate biodistribution and clinical equivalency in a small patient population, these studies are not powered for or designed to demonstrate efficacy.</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Kidney Cancer and CAIX</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target for kidney cancer is carbonic anhydrase IX, or CAIX, a scientifically validated target in ccRCC, which is the most prevalent and aggressive form of kidney cancer. CAIX is a cell surface protein that is highly expressed in ccRCC, and in many other solid tumors in the hypoxic tumor microenvironment. We believe the correlation between hypoxia and disease progression, along with therapeutic resistance, underscores the potential of this target. Whereas normal endogenous expression of CAIX is very low, CAIX has been found to be differentially expressed on regulatory T-cells, or Tregs, in the tumor microenvironment across a number of solid tumors. To target CAIX, we use a monoclonal antibody, girentuximab, which is designed to have a high degree of selectivity and affinity for the target and can be used for both imaging and therapy. We are using the same hepatically cleared agent for both the imaging and therapeutic applications due to avoidance of kidney excretion, which is an advantage when assessing or treating primary kidney disease. We believe the target profile and properties of girentuximab make the ccRCC phenotype promising as the first therapeutic indication for TLX250, our targeted radiation therapeutic product candidate.</w:t>
      </w:r>
    </w:p>
    <w:p>
      <w:pPr>
        <w:spacing w:after="0" w:line="184"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Our CAIX-targeting therapeutic candidate is TLX250 (</w:t>
      </w:r>
      <w:r>
        <w:rPr>
          <w:rFonts w:ascii="Times New Roman" w:cs="Times New Roman" w:eastAsia="Times New Roman" w:hAnsi="Times New Roman"/>
          <w:sz w:val="29"/>
          <w:szCs w:val="29"/>
          <w:color w:val="auto"/>
          <w:vertAlign w:val="superscript"/>
        </w:rPr>
        <w:t>177</w:t>
      </w:r>
      <w:r>
        <w:rPr>
          <w:rFonts w:ascii="Times New Roman" w:cs="Times New Roman" w:eastAsia="Times New Roman" w:hAnsi="Times New Roman"/>
          <w:sz w:val="18"/>
          <w:szCs w:val="18"/>
          <w:color w:val="auto"/>
        </w:rPr>
        <w:t>Lu-DOTA-girentuximab), an rADC that we are developing for the treatment of advanced metastatic kidney cancer. In a Phase 1 clinical trial of TLX250 we observed a mean progression free survival, or PFS, of 11.1 months in 23 patients with advanced ccRCC. As the primary goal of a Phase 1 study is to demonstrate safety and tolerability criteria in a small patient population, these studies are not powered for or designed to demonstrate efficacy.</w:t>
      </w:r>
    </w:p>
    <w:p>
      <w:pPr>
        <w:spacing w:after="0" w:line="199" w:lineRule="exact"/>
        <w:rPr>
          <w:sz w:val="20"/>
          <w:szCs w:val="20"/>
          <w:color w:val="auto"/>
        </w:rPr>
      </w:pPr>
    </w:p>
    <w:p>
      <w:pPr>
        <w:ind w:left="20" w:right="220"/>
        <w:spacing w:after="0" w:line="255" w:lineRule="auto"/>
        <w:rPr>
          <w:sz w:val="20"/>
          <w:szCs w:val="20"/>
          <w:color w:val="auto"/>
        </w:rPr>
      </w:pPr>
      <w:r>
        <w:rPr>
          <w:rFonts w:ascii="Times New Roman" w:cs="Times New Roman" w:eastAsia="Times New Roman" w:hAnsi="Times New Roman"/>
          <w:sz w:val="18"/>
          <w:szCs w:val="18"/>
          <w:color w:val="auto"/>
        </w:rPr>
        <w:t>TLX250 is being evaluated in two Phase 2 investigator-sponsored clinical trials for the treatment of kidney cancer, STARLITE-1 and STARLITE-2, in combination with checkpoint inhibitors in a total of 129 patients. In October 2024, we announced that the MTD of TLX250 has been established in the STARLITE-2 trial, when administered in combination with nivolumab. STARLITE-2 is continuing to dose patients with the possibility of an expansion cohort at the MTD before concluding. We are also evaluating TLX250 in combination with peposertib (M3814), a DNA-dependent protein kinase, or DNA-PK, inhibitor, in collaboration with Merck KGaA, Darmstadt, Germany, or Merck KGaA, in a Phase 1b trial, STARSTRUCK, for the treatment of patients with ccRCC as well as other selected solid tumors that commonly express CAIX at an advanced stage of disease. We expect the STARSTRUCK trial to enroll 85 patients.</w:t>
      </w:r>
    </w:p>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believe the combined diagnostic and therapeutic potential of TLX250 may also extend into other cancers that significantly express CAIX, including certain Von Hippel Landau, or VHL, induced cancers, ovarian cancer, triple-negative breast cancer and bladder cancer. We believe that our preliminary clinical data in patients with triple-negative breast and bladder cancer supports future development of TLX250 in these indications.</w:t>
      </w:r>
    </w:p>
    <w:p>
      <w:pPr>
        <w:spacing w:after="0" w:line="166"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TLX252 is a CAIX-targeting rADC alpha therapy candidate (</w:t>
      </w:r>
      <w:r>
        <w:rPr>
          <w:rFonts w:ascii="Times New Roman" w:cs="Times New Roman" w:eastAsia="Times New Roman" w:hAnsi="Times New Roman"/>
          <w:sz w:val="29"/>
          <w:szCs w:val="29"/>
          <w:color w:val="auto"/>
          <w:vertAlign w:val="superscript"/>
        </w:rPr>
        <w:t>225</w:t>
      </w:r>
      <w:r>
        <w:rPr>
          <w:rFonts w:ascii="Times New Roman" w:cs="Times New Roman" w:eastAsia="Times New Roman" w:hAnsi="Times New Roman"/>
          <w:sz w:val="18"/>
          <w:szCs w:val="18"/>
          <w:color w:val="auto"/>
        </w:rPr>
        <w:t xml:space="preserve">Ac-DOTA-girentuximab) that we are developing as a potential complement to the TLX250 (beta) program. TLX252 has demonstrated pre-clinical proof-of-concept in several published preclinical imaging and efficacy animal studies, and comparable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characteristics (binding, pharmacokinetics and biodistribution) to non-radiolabeled girentuximab, which we believe supports the initiation of initial dose-finding trials of TLX252 for the treatment of patients with advanced metastatic kidney cancer.</w:t>
      </w:r>
    </w:p>
    <w:p>
      <w:pPr>
        <w:spacing w:after="0" w:line="19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imaging candidate TLX250-CDx is a PET diagnostic imaging agent that is under development to characterize indeterminate renal masses as ccRCC or non-ccRCC in a non-invasive manner. We recently completed the pivotal Phase 3 ZIRCON trial evaluating TLX250-CDx in 300 patients, of which 284 were evaluable. The trial met all primary and secondary endpoints, including showing 86% sensitivity and 87% specificity and a 93% positive-predictive value, or PPV, for ccRCC across three independent readers. We believe this demonstrated the ability of TLX250-CDx to reliably detect the clear cell phenotype and provide an accurate, non-invasive method for diagnosing ccRCC. Confidence intervals exceeded expectations in all three readers, showing evidence of high accuracy and consistency of interpretation.</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submitted a BLA for TLX250-CDx to the FDA for regulatory approval in December 2023 for characterization of masses as ccRCC. The BLA was granted on a rolling review process. We completed the BLA submission in May 2024, and in July 2024, the FDA declined to review the BLA and issued an RTF determination. The denial of acceptance for filing was based on a filing concern related to demonstrating adequate sterility assurance during dispensing of TLX250-CDx in the radiopharmacy production environment. We resubmitted the BLA to the FDA in December 2024. While we believe that TLX250-CDx has met all sterility requirements of product release and that we have completed the required remedial actions, there can be no assurance that FDA will accept the BLA for review or that we will obtain regulatory approval from the FDA. If approved, TLX250-CDx would be the first targeted radiopharmaceutical imaging agent for kidney cancer to be approved in the United States.</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part of our commitment to provide access to medicine, we are running an expanded access program, or EAP, in the U.S., named patient programs,</w:t>
      </w:r>
    </w:p>
    <w:p>
      <w:pPr>
        <w:spacing w:after="0" w:line="27" w:lineRule="exact"/>
        <w:rPr>
          <w:sz w:val="20"/>
          <w:szCs w:val="20"/>
          <w:color w:val="auto"/>
        </w:rPr>
      </w:pPr>
    </w:p>
    <w:p>
      <w:pPr>
        <w:ind w:left="20" w:right="100"/>
        <w:spacing w:after="0" w:line="260" w:lineRule="auto"/>
        <w:rPr>
          <w:sz w:val="20"/>
          <w:szCs w:val="20"/>
          <w:color w:val="auto"/>
        </w:rPr>
      </w:pPr>
      <w:r>
        <w:rPr>
          <w:rFonts w:ascii="Times New Roman" w:cs="Times New Roman" w:eastAsia="Times New Roman" w:hAnsi="Times New Roman"/>
          <w:sz w:val="18"/>
          <w:szCs w:val="18"/>
          <w:color w:val="auto"/>
        </w:rPr>
        <w:t>or NPPs, in Europe, and a special access scheme, or SAS in Australia to allow access to TLX250-CDx outside of a clinical trial to patients for whom there are no comparable or satisfactory alternative options.</w:t>
      </w:r>
    </w:p>
    <w:p>
      <w:pPr>
        <w:spacing w:after="0" w:line="1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also intend to conduct a label-expanding Phase 3 trial of TLX250-CDx for the imaging of patients with metastatic ccRCC. We believe TLX250-CDx is a natural follow-on product to Illuccix as it is targeted at the same clinician users, the urologist and urologic oncologist, and leverages our existing commercial infrastructure.</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July 2023, we dosed the first patient in the Phase 2 STARBURST trial of TLX250-CDx exploring CAIX expression in patients with a diverse range of solid tumors for potential therapeutic and diagnostic applications. This trial, which aims to enroll 100 patients, may enable us to identify new therapeutic indications for TLX250 through the use of molecular imaging with TLX250-CDx.</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Bladder Cancer and FAP</w:t>
      </w:r>
    </w:p>
    <w:p>
      <w:pPr>
        <w:spacing w:after="0" w:line="31"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Our bladder cancer programs target CAIX and fibroblast activation protein, or FAP, two well-validated targets with pan-cancer potential. This complementary approach targeting CAIX and fibrosis is a potential “double hit” at the tumor microenvironment, with potential to provide a synergistic benefit when combined with other systemic therapies like immuno-therapies.</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observed encouraging preliminary clinical data in bladder cancer with our CAIX-targeting TLX250 platform, and in November 2024 we announced an expansion of our theranostic pipeline with an agreement to in-license a portfolio of next generation FAP-targeting assets. Subject to completion of the transaction, our FAP development program will initially focus on the treatment of bladder cancer, complementing our existing successful urology franchise. We also plan to explore the potential for our FAP portfolio in a range of solid tumors, as many cancers are known to express this target either in the tumor microenvironment, like breast cancer, or directly on malignant lesions, like sarcomas. Our lead incoming therapeutic candidate, TLX400, has been administered in over 500 patients in a compassionate use setting covering multiple tumor types.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Glioma and LAT1/LAT2</w:t>
      </w:r>
    </w:p>
    <w:p>
      <w:pPr>
        <w:spacing w:after="0" w:line="31"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Our targets for glioma are large amino acid transporters 1 and 2, or LAT1 and LAT2 (respectively), validated targets that are highly expressed in several solid tumors, including malignancies of the central nervous system, or CNS. We believe that the LAT1 and LAT2 receptors, which are expressed on both sides of the blood-brain barrier, are suitable targets for the delivery of radiation to both primary CNS malignancies and metastases from non-CNS cancers such as lung and breast cancer. As such, we believe there are several potential indications for theranostic radiopharmaceuticals targeting LAT1 and LAT2.</w:t>
      </w:r>
    </w:p>
    <w:p>
      <w:pPr>
        <w:spacing w:after="0" w:line="1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therapeutic product candidate, TLX101, is a systemic therapy directed at the LAT1 receptor for the treatment of glioblastoma. We are using a small molecule for this therapy due to the need to cross the blood-brain barrier to reach its target. TLX101 has received orphan drug designation in the United States and Europe for the treatment of glioma. Orphan drug designation may not lead to a faster development or regulatory review or approval process and does not increase the likelihood that TLX101 will receive marketing approval.</w:t>
      </w:r>
    </w:p>
    <w:p>
      <w:pPr>
        <w:spacing w:after="0" w:line="180" w:lineRule="exact"/>
        <w:rPr>
          <w:sz w:val="20"/>
          <w:szCs w:val="20"/>
          <w:color w:val="auto"/>
        </w:rPr>
      </w:pPr>
    </w:p>
    <w:p>
      <w:pPr>
        <w:ind w:left="20" w:right="60"/>
        <w:spacing w:after="0" w:line="255" w:lineRule="auto"/>
        <w:rPr>
          <w:sz w:val="20"/>
          <w:szCs w:val="20"/>
          <w:color w:val="auto"/>
        </w:rPr>
      </w:pPr>
      <w:r>
        <w:rPr>
          <w:rFonts w:ascii="Times New Roman" w:cs="Times New Roman" w:eastAsia="Times New Roman" w:hAnsi="Times New Roman"/>
          <w:sz w:val="18"/>
          <w:szCs w:val="18"/>
          <w:color w:val="auto"/>
        </w:rPr>
        <w:t>We are evaluating TLX101 in the front-line and recurrent disease settings where we have observed preliminary clinical evidence of anti-tumor effect and disease stabilization. We completed the IPAX-1 trial of TLX101 in combination with external beam radiation therapy in patients with recurrent glioblastoma. The IPAX-1 trial enrolled ten patients, met its primary endpoint of safety and tolerability of TLX101 and demonstrated preliminary efficacy data that supports continued development. As the primary goal of a Phase 1 study is to demonstrate safety and tolerability criteria in a small patient population, these studies are not powered for or designed to demonstrate efficacy. The Phase 1 IPAX-2 trial is designed to enroll 15 patients to evaluate the safety of treatment of patients with newly diagnosed glioblastoma with TLX101 as a front-line treatment. We dosed the first patient in August 2023. TLX101 is also being evaluated in the investigator-led Phase 2 IPAX Linz trial, which has completed enrollment of patients with recurrent glioblastoma.</w:t>
      </w:r>
    </w:p>
    <w:p>
      <w:pPr>
        <w:spacing w:after="0" w:line="17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TLX102 is a LAT1-targeting small molecule-based alpha therapy candidate (</w:t>
      </w:r>
      <w:r>
        <w:rPr>
          <w:rFonts w:ascii="Times New Roman" w:cs="Times New Roman" w:eastAsia="Times New Roman" w:hAnsi="Times New Roman"/>
          <w:sz w:val="29"/>
          <w:szCs w:val="29"/>
          <w:color w:val="auto"/>
          <w:vertAlign w:val="superscript"/>
        </w:rPr>
        <w:t>211</w:t>
      </w:r>
      <w:r>
        <w:rPr>
          <w:rFonts w:ascii="Times New Roman" w:cs="Times New Roman" w:eastAsia="Times New Roman" w:hAnsi="Times New Roman"/>
          <w:sz w:val="18"/>
          <w:szCs w:val="18"/>
          <w:color w:val="auto"/>
        </w:rPr>
        <w:t>At-APA) that we are developing as a potential complement to the TLX101 and TLX101-CDx programs. TLX102 has demonstrated pre-clinical proof-of-concept and we believe that TLX102 has the potential to have a favorable efficacy and safety profile in future human clinical trials in patients with glioblastoma and multiple myeloma. Due to comparable target binding and molecular structure, we expect that data from our existing LAT1 theranostic programs, TLX101-CDx and TLX101, will complement and inform the clinical and regulatory development strategy for TLX102. In August 2020,TLX102 was granted orphan drug designation from the FDA in the United States for the treatment of multiple myeloma. Orphan drug designation may not lead to a faster development or regulatory review or approval process in multiple myeloma or glioblastoma and does not increase the likelihood that TLX102 will receive marketing approval in either of these disease areas.</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9"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18"/>
          <w:szCs w:val="18"/>
          <w:color w:val="auto"/>
        </w:rPr>
        <w:t xml:space="preserve">Our imaging candidate, TLX101-CDx, also known as </w:t>
      </w: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 xml:space="preserve">F-floretyrosine or </w:t>
      </w: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 xml:space="preserve">F-FET, is a PET diagnostic agent designed to image cancerous lesions in the brain by targeting the LAT1 and LAT2 receptors. </w:t>
      </w: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F-FET is widely used in many jurisdictions and is recommended by the joint guidelines from the European Association of Nuclear Medicine, European Association of Neuro-Oncology, Society of Nuclear Medicine and Molecular Imaging, Response Assessment in Neuro-Oncology, The European Society for Pediatric Oncology and The Response Assessment in Pediatric Neuro-Oncology for the characterization of recurrence in glioma patients. In October 2020, TLX101-CDx was granted orphan drug designation by the FDA in the United States for the imaging of glioma.</w:t>
      </w:r>
    </w:p>
    <w:p>
      <w:pPr>
        <w:spacing w:after="0" w:line="20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Orphan drug designation may not lead to a faster development or regulatory review or approval process and does not increase the likelihood that TLX101-CDx will receive marketing approval. In August 2024, we submitted an NDA to the FDA for TLX101-CDx for the characterization of progressive or recurrent glioma from treatment related changes in both adult and pediatric patients through the 505(b)(2) NDA regulatory pathway. In October 2024, the FDA accepted the NDA, granted priority review and assigned a PDUFA goal date of April 26, 2025. There is no guarantee that the FDA will approve the NDA by the PDUFA goal date, if at all. TLX101-CDx was granted fast track designation by the FDA for this indication in April 2024. Fast track designation may not lead to a faster development or regulatory review or approval process, and does not increase the likelihood that TLX101-CDx will receive marketing approval.</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part of our commitment to provide access to medicine, we are running an EAP in the U.S. to allow access to TLX101-CDx outside of a clinical trial to patients for whom there are no comparable or satisfactory alternative options.</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also intend to conduct a label-expanding Phase 3 trial of TLX101-CDx for the imaging of patients with brain metastases from non-brain cancers, including lung and breast cancer.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Musculoskeletal and Hematologic Cancer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 Tissue Sarcoma and PDGFRα</w:t>
      </w:r>
    </w:p>
    <w:p>
      <w:pPr>
        <w:spacing w:after="0" w:line="229" w:lineRule="exact"/>
        <w:rPr>
          <w:sz w:val="20"/>
          <w:szCs w:val="20"/>
          <w:color w:val="auto"/>
        </w:rPr>
      </w:pPr>
    </w:p>
    <w:p>
      <w:pPr>
        <w:ind w:left="20" w:right="60"/>
        <w:spacing w:after="0" w:line="258" w:lineRule="auto"/>
        <w:rPr>
          <w:sz w:val="20"/>
          <w:szCs w:val="20"/>
          <w:color w:val="auto"/>
        </w:rPr>
      </w:pPr>
      <w:r>
        <w:rPr>
          <w:rFonts w:ascii="Times New Roman" w:cs="Times New Roman" w:eastAsia="Times New Roman" w:hAnsi="Times New Roman"/>
          <w:sz w:val="18"/>
          <w:szCs w:val="18"/>
          <w:color w:val="auto"/>
        </w:rPr>
        <w:t>Our product candidates TLX300 and TLX300-CDx employ antibody-directed targeted radiation for both therapeutic and diagnostic applications against platelet-derived growth factor receptor alpha, or PDGFRα, which is a tyrosine kinase receptor involved in fibrogenesis. We believe that the targeting of activated fibroblasts in the tumor micro-environment is a promising strategy to drive durable treatment responses in certain solid tumors. Eli Lilly Kinsale Limited provided us with a license for olaratumab, a naked antibody that was formerly marketed as Lartruvo. We re-purposed olaratumab as a radiopharmaceutical product candidate.</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completed pre-clinical studies evaluating TLX300 and have received ethics approval for a first-in-human Phase 1 proof-of-concept targeting and biodistribution trial using TLX300-CDx, where we expect to dose a first patient in Australia in the first quarter of 2025. We intend to develop the therapeutic application of TLX300 for the treatment of advanced soft tissue sarcoma, or STS. We have not yet determined the specific therapeutic isotope that we will use in therapeutic trials.</w:t>
      </w:r>
    </w:p>
    <w:p>
      <w:pPr>
        <w:spacing w:after="0" w:line="170" w:lineRule="exact"/>
        <w:rPr>
          <w:sz w:val="20"/>
          <w:szCs w:val="20"/>
          <w:color w:val="auto"/>
        </w:rPr>
      </w:pPr>
    </w:p>
    <w:p>
      <w:pPr>
        <w:ind w:right="180"/>
        <w:spacing w:after="0" w:line="204" w:lineRule="auto"/>
        <w:rPr>
          <w:sz w:val="20"/>
          <w:szCs w:val="20"/>
          <w:color w:val="auto"/>
        </w:rPr>
      </w:pPr>
      <w:r>
        <w:rPr>
          <w:rFonts w:ascii="Times New Roman" w:cs="Times New Roman" w:eastAsia="Times New Roman" w:hAnsi="Times New Roman"/>
          <w:sz w:val="18"/>
          <w:szCs w:val="18"/>
          <w:color w:val="auto"/>
        </w:rPr>
        <w:t>TLX300-CDx (</w:t>
      </w:r>
      <w:r>
        <w:rPr>
          <w:rFonts w:ascii="Times New Roman" w:cs="Times New Roman" w:eastAsia="Times New Roman" w:hAnsi="Times New Roman"/>
          <w:sz w:val="29"/>
          <w:szCs w:val="29"/>
          <w:color w:val="auto"/>
          <w:vertAlign w:val="superscript"/>
        </w:rPr>
        <w:t>89</w:t>
      </w:r>
      <w:r>
        <w:rPr>
          <w:rFonts w:ascii="Times New Roman" w:cs="Times New Roman" w:eastAsia="Times New Roman" w:hAnsi="Times New Roman"/>
          <w:sz w:val="18"/>
          <w:szCs w:val="18"/>
          <w:color w:val="auto"/>
        </w:rPr>
        <w:t>Zr-DFOsq-olaratumab, including our proprietary DFO-squaramide chelator) is an investigational imaging agent that we are developing for use with TLX300 as a theranostic pair.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Hematologic Oncology and CD66</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hematologic oncology and bone marrow conditioning, or BMC, we are exploring the potential utility of targeted radiation to ablate bone marrow as part of a pre-conditioning regimen for bone marrow transplantation, novel stem cell therapies and gene therapies, each of which requires conditioning prior to treatment. The standard of care involves using highly toxic chemo-ablation techniques that require long hospitalization times and significant treatment-related morbidity and mortality risks, which considerably limit patient access to these therapeutic interventions. We believe that a safe, durable and short internment treatment could be transformative to many facets of cancer and autoimmune disease treatments that require BMC.</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7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Our product candidate TLX66 (</w:t>
      </w:r>
      <w:r>
        <w:rPr>
          <w:rFonts w:ascii="Times New Roman" w:cs="Times New Roman" w:eastAsia="Times New Roman" w:hAnsi="Times New Roman"/>
          <w:sz w:val="29"/>
          <w:szCs w:val="29"/>
          <w:color w:val="auto"/>
          <w:vertAlign w:val="superscript"/>
        </w:rPr>
        <w:t>90</w:t>
      </w:r>
      <w:r>
        <w:rPr>
          <w:rFonts w:ascii="Times New Roman" w:cs="Times New Roman" w:eastAsia="Times New Roman" w:hAnsi="Times New Roman"/>
          <w:sz w:val="18"/>
          <w:szCs w:val="18"/>
          <w:color w:val="auto"/>
        </w:rPr>
        <w:t>Y-DTPA-besilesomab) is designed to target cluster of differentiation 66, or CD66, a well-validated leukocyte and neutrophil target. TLX66 has been evaluated as a therapeutic bone marrow conditioning agent in approximately 100 patients with results that support continued development, both as a monotherapy and in combination with low dose chemotherapy conditioning regimes. We plan to evaluate TLX66 in a Phase 2 clinical trial as a BMC agent in patients with acute myeloid leukemia who are not suitable for conventional BMC regimes. We expect to submit an IND to the FDA for this trial and to commence the trial in Q1 2026. In March 2022, TLX66 was granted orphan drug designation by the FDA in the United States as a conditioning treatment prior to hematopoietic stem cell transplant, or HSCT. TLX66 was granted orphan drug designation in Europe in October 2019. Orphan drug designation may not lead to a faster development or regulatory review or approval process and does not increase the likelihood that TLX66 will receive marketing approval.</w:t>
      </w:r>
    </w:p>
    <w:p>
      <w:pPr>
        <w:spacing w:after="0" w:line="198"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We believe that the imaging application of besilesomab could support patient selection for TLX66 by informing healthcare providers whether sufficient activity will be absorbed by a patient’s bone marrow. TLX66-CDx, an imaging application of besilesomab, has already been commercialized and is an internationally approved product (marketed as Scintimun) for imaging osteomyelitis (bone infection) in approximately 30 countries. Scintimun was previously manufactured and distributed by Curium Pharma through an out-license from Telix via the acquisition of TheraPharm in 2020. Following a strategic review of the asset, we have elected to bring sales and marketing in-house, with plans to significantly augment commercial distribution and indication expansion from 2025. We also intend to further develop Scintimun as a companion patient selection and safety assessment tool for TLX66 (</w:t>
      </w:r>
      <w:r>
        <w:rPr>
          <w:rFonts w:ascii="Times New Roman" w:cs="Times New Roman" w:eastAsia="Times New Roman" w:hAnsi="Times New Roman"/>
          <w:sz w:val="29"/>
          <w:szCs w:val="29"/>
          <w:color w:val="auto"/>
          <w:vertAlign w:val="superscript"/>
        </w:rPr>
        <w:t>90</w:t>
      </w:r>
      <w:r>
        <w:rPr>
          <w:rFonts w:ascii="Times New Roman" w:cs="Times New Roman" w:eastAsia="Times New Roman" w:hAnsi="Times New Roman"/>
          <w:sz w:val="18"/>
          <w:szCs w:val="18"/>
          <w:color w:val="auto"/>
        </w:rPr>
        <w:t>Y-besilesomab), its therapeutic BMC candidate for HSCT. TLX66-CDx has not received marketing approval in the United States.</w:t>
      </w:r>
    </w:p>
    <w:p>
      <w:pPr>
        <w:spacing w:after="0" w:line="19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Manufacturing TLX66 and TLX66-CDx utilizes a small amount of Triton X-100, which is a non-ionic surfactant, in the antibody manufacturing process. Triton X-100 is subject to a regulation in the European Union known as Registration, Evaluation, Authorisation and Restriction of Chemicals, or REACH. We are permitted to manufacture TLX66 for research and clinical development in the European Union pursuant to a self-certified exemption applicable to research and development activity. We would need to obtain authorization under REACH in order to use Triton X-100 for the future commercial manufacturing of TLX-66 or re-design the commercial manufacturing process for TLX66 such that Triton X-100 is not used. We are currently planning to re-design the commercial manufacturing process for TLX66 and potentially for TLX66-CDx. We believe that any improvements to the manufacturing process we may make could also result in an increase in productivity and a potential reduction in manufacturing costs. If we re-design the manufacturing process for TLX66, we may be required to conduct additional clinical trials of TLX66 or meet alternative regulatory standards.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Bone Metastases and Pain Palliation</w:t>
      </w:r>
    </w:p>
    <w:p>
      <w:pPr>
        <w:spacing w:after="0" w:line="219"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TLX090 (</w:t>
      </w:r>
      <w:r>
        <w:rPr>
          <w:rFonts w:ascii="Times New Roman" w:cs="Times New Roman" w:eastAsia="Times New Roman" w:hAnsi="Times New Roman"/>
          <w:sz w:val="29"/>
          <w:szCs w:val="29"/>
          <w:color w:val="auto"/>
          <w:vertAlign w:val="superscript"/>
        </w:rPr>
        <w:t>153</w:t>
      </w:r>
      <w:r>
        <w:rPr>
          <w:rFonts w:ascii="Times New Roman" w:cs="Times New Roman" w:eastAsia="Times New Roman" w:hAnsi="Times New Roman"/>
          <w:sz w:val="18"/>
          <w:szCs w:val="18"/>
          <w:color w:val="auto"/>
        </w:rPr>
        <w:t>Sm-DOTMP) is a novel kit-based bone-seeking targeted radiopharmaceutical product candidate that uses a next generation chelating agent to deliver a proprietary formulation of Samarium-153 radioisotope. It is a combination of patented, lower specific activity form of Samarium-153, a beta-emitting radioisotope with a 46-hour half-life, and the chelating agent DOTMP, which selectively targets sites of high bone mineral turnover, a known characteristic of bone metastases, and minimizes off-target migration. We believe that TLX090 may be administered as a single dose, multiple doses and higher dose regimens for pain management of bone metastases and osteosarcoma therapy, including in pediatric patients. We believe that TLX090 is highly aligned with our existing therapeutic focus areas of prostate cancer, glioma and sarcoma.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Manufacturing Activities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corporate headquarters is located in Melbourne, Australia. The majority of our workforce is in the United States, based out of our U.S. headquarters in Indianapolis, Indiana, our R&amp;D facilities in Angleton, Texas and Sacramento, California, working remotely, or in one of our network of radiopharmacies that we acquired in January 2025 as part of our acquisition of RLS. Our international operations include Australia (corporate headquarters in Melbourne and regional offices in Sydney and Brisbane), Belgium (Brussels and Liège), Switzerland (Geneva), Japan (Kyoto) and Canada (Vancouver). We are investing significantly to build a world-class vertically integrated supply chain, superior manufacturing and distribution capabilities, and the ability to deliver radiopharmaceuticals to all major global markets.</w:t>
      </w:r>
    </w:p>
    <w:p>
      <w:pPr>
        <w:spacing w:after="0" w:line="1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the impact of our investment into supply chain, manufacturing, distribution, and commercial capabilities to date is clearly demonstrated through the successful commercial launch of Illuccix. Leveraging our extensive network of partners, we have expanded manufacturing capabilities to support the scale-up of commercial sales of Illuccix. Furthermore, our widespread distribution network, encompassing over 245 radiopharmacies across the United States, is designed to ensure flexibility and reliability in delivering Illuccix imaging doses to patients.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continue to invest to strengthen our vertically integrated supply chain and manufacturing model. In 2023 we opened our manufacturing facility located in Brussels South, Belgium. At approximately 30,000 square feet, it is one of the largest radiopharmaceutical production facilities in Europe, with nine good manufacturing practice, or GMP, lines, clean rooms, a radiopharmacy and provisions for the installation of two cyclotrons. We expect this facility to deliver significant flexibility and reliable supply for our growing commercial production requirements. It also serves as a vital hub for research and development, specifically in manufacturing scale-up and production of next generation radiopharmaceuticals, including both alpha-emitters and beta-emitters. In 2022, we acquired Optimal Tracers, a Sacramento-based company that provides radiochemistry process development services and research tracers for use in clinical trials. The acquisition of Optimal Tracers expanded our translational radiochemistry capability and establishes a U.S.-based laboratory and production footprint for manufacturing doses of radiopharmaceutical to support clinical trials. We are also obtaining planning and regulatory approvals for a hotlab and dosimetry facility in Melbourne, Australia.</w:t>
      </w:r>
    </w:p>
    <w:p>
      <w:pPr>
        <w:spacing w:after="0" w:line="18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April 2024, we acquired IsoTherapeutics, which we believe will enable us to internalize select aspects of our development programs, with the goal of reducing cost and time to achieve technical milestones.</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April 2024, we acquired ARTMS., which we expect will further enhance the vertical integration of our supply chain and manufacturing by providing a greater level of control and security over each of our diagnostic isotopes, with the goal of facilitating broader patient access to therapeutic and diagnostic radiopharmaceuticals through ARTMS’ high-yield production techniques.</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January 2025, we acquired RLS (USA), Inc., America’s only Joint Commission-accredited radiopharmacy network distributing PET, SPECT and therapeutic radiopharmaceuticals. The RLS acquisition – including 32 radiopharmacies across the U.S. – augments our existing distribution network for last-mile delivery and provides expansionary space to build out a radiometal production network to meet future demand for radiopharmaceuticals.</w:t>
      </w:r>
    </w:p>
    <w:p>
      <w:pPr>
        <w:sectPr>
          <w:pgSz w:w="11900" w:h="16838" w:orient="portrait"/>
          <w:cols w:equalWidth="0" w:num="1">
            <w:col w:w="11220"/>
          </w:cols>
          <w:pgMar w:left="320" w:top="115" w:right="359" w:bottom="538" w:gutter="0" w:footer="0" w:header="0"/>
        </w:sect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538"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Opportunity and Strategy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global radiopharmaceutical industry is undergoing a period of transformative growth with theranostics emerging as a key pillar in the armamentarium of oncology treatment. We believe that with increasing integration of nuclear medicine and traditional oncology clinical practice, radiopharmaceuticals will become a core component of the multi-disciplinary approach to cancer treatment with a proportionate benefit to patients.</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therapeutic radiopharmaceutical platform harnesses the power of radioactive isotopes combined with multi-platform targeting agents to deliver targeted radiation directly to the tumor site. These therapies have the potential to be stand-alone treatments or as complements to existing treatment modalities to address areas of high unmet medical need. Due to our expertise in the multiple components of radiopharmaceuticals we are able to create theranostics in an “agnostic” manner, pairing the right delivery mechanism with the right isotope most likely to be suited for the tumor being treated.</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pair each therapeutic with a diagnostic imaging agent, this underpins the “theranostic” approach whereby two conjugates are used to target the same cell-surface receptor, one for detection, localization or staging, and the other for selective destruction of target cancer cells. When used in tandem to plan and execute treatment, and then to assess response and monitor for progression, this approach allows the delivery of truly personalized therapy to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31" w:lineRule="exact"/>
        <w:rPr>
          <w:sz w:val="20"/>
          <w:szCs w:val="20"/>
          <w:color w:val="auto"/>
        </w:rPr>
      </w:pPr>
    </w:p>
    <w:p>
      <w:pPr>
        <w:jc w:val="both"/>
        <w:ind w:left="20" w:right="40"/>
        <w:spacing w:after="0" w:line="255" w:lineRule="auto"/>
        <w:rPr>
          <w:sz w:val="20"/>
          <w:szCs w:val="20"/>
          <w:color w:val="auto"/>
        </w:rPr>
      </w:pPr>
      <w:r>
        <w:rPr>
          <w:rFonts w:ascii="Times New Roman" w:cs="Times New Roman" w:eastAsia="Times New Roman" w:hAnsi="Times New Roman"/>
          <w:sz w:val="18"/>
          <w:szCs w:val="18"/>
          <w:color w:val="auto"/>
        </w:rPr>
        <w:t>Our strategy is to launch innovative imaging agents in our core disease areas, while financing the development of therapeutic product candidates, including next-generation radiopharmaceuticals. This strategy is underpinned by a vertically integrated approach to supply and manufacturing, and is supported by a first-class commercial organization ensuring global patient access to our products.</w:t>
      </w:r>
    </w:p>
    <w:p>
      <w:pPr>
        <w:spacing w:after="0" w:line="18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strategy is designed to deliver on our purpose and mission and reflects the evolution of our business into a global, multi-product commercial-stage company with a deep theranostic pipeline. This approach, we believe, will deliver benefits to patients and returns to shareholders over the near and long-term.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four strategic pillars central to achieving our mission 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Deliver our late-stage therapeutic pipeline</w:t>
      </w:r>
    </w:p>
    <w:p>
      <w:pPr>
        <w:spacing w:after="0" w:line="3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We aim to build both breadth and depth in oncology and to address areas of significant unmet medical need, both for large oncology indications such as prostate cancer and kidney cancer, as well as rare oncology indications such as glioma. This is based on a target selection process that is aligned with our expertise in radiation biology.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advance TLX591, TLX250 and TLX101 late-stage clinical trials for the treatment of prostate cancer, kidney cancer and gliomas,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we expanded the dosing of patients in the Phase 3 ProstACT GLOBAL study from the Asia Pacific region to the U.S. This is a study of TLX591</w:t>
      </w:r>
    </w:p>
    <w:p>
      <w:pPr>
        <w:spacing w:after="0" w:line="15"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177</w:t>
      </w:r>
      <w:r>
        <w:rPr>
          <w:rFonts w:ascii="Times New Roman" w:cs="Times New Roman" w:eastAsia="Times New Roman" w:hAnsi="Times New Roman"/>
          <w:sz w:val="18"/>
          <w:szCs w:val="18"/>
          <w:color w:val="auto"/>
        </w:rPr>
        <w:t>Lu-rosopatamab tetraxetan), our lead radio antibody-drug conjugate therapy candidate for advanced prostate cancer. This multinational Phase 3 study to investigate and confirm the benefits and risks associated with TLX591, when administered together with standard of care, or SoC, and compared to SoC alone.</w:t>
      </w:r>
    </w:p>
    <w:p>
      <w:pPr>
        <w:spacing w:after="0" w:line="20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also advancing TLX250, TLX101, TLX090 and TLX66 into late-stage clinical trials for the treatment of kidney cancer, glioblastoma, bone metastases, and acute myeloid leukemia, respectively. We believe that each of our product candidates is currently the most advanced systemic radiotherapy in its respective indication.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 the next generation of radiopharmaceuticals</w:t>
      </w:r>
    </w:p>
    <w:p>
      <w:pPr>
        <w:spacing w:after="0" w:line="31" w:lineRule="exact"/>
        <w:rPr>
          <w:sz w:val="20"/>
          <w:szCs w:val="20"/>
          <w:color w:val="auto"/>
        </w:rPr>
      </w:pPr>
    </w:p>
    <w:p>
      <w:pPr>
        <w:ind w:left="20" w:right="220"/>
        <w:spacing w:after="0" w:line="253" w:lineRule="auto"/>
        <w:rPr>
          <w:sz w:val="20"/>
          <w:szCs w:val="20"/>
          <w:color w:val="auto"/>
        </w:rPr>
      </w:pPr>
      <w:r>
        <w:rPr>
          <w:rFonts w:ascii="Times New Roman" w:cs="Times New Roman" w:eastAsia="Times New Roman" w:hAnsi="Times New Roman"/>
          <w:sz w:val="18"/>
          <w:szCs w:val="18"/>
          <w:color w:val="auto"/>
        </w:rPr>
        <w:t>We have established a track-record in identifying validated clinical product candidates that can be optimized as radiopharmaceutical therapies to develop them through to commercial products. We are leveraging this capability to expand our pipeline with next-generation radiopharmaceuticals, particularly targeted alpha-emitting therapies, through business development, as well as internal R&amp;D programs and collaborations. Through our existing clinical programs and dedicated research facilities in the U.S. and Europe, we are focused on the development of alpha therapy candidates as a future pipeline expansion opportunity, and on building supply and manufacturing capabilities required to support an eventual commercial launch.</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20" w:right="280"/>
        <w:spacing w:after="0" w:line="266" w:lineRule="auto"/>
        <w:rPr>
          <w:sz w:val="20"/>
          <w:szCs w:val="20"/>
          <w:color w:val="auto"/>
        </w:rPr>
      </w:pPr>
      <w:r>
        <w:rPr>
          <w:rFonts w:ascii="Times New Roman" w:cs="Times New Roman" w:eastAsia="Times New Roman" w:hAnsi="Times New Roman"/>
          <w:sz w:val="18"/>
          <w:szCs w:val="18"/>
          <w:color w:val="auto"/>
        </w:rPr>
        <w:t>In January 2025 we entered into an asset purchase agreement with antibody engineering company ImaginAb, Inc., or ImaginAb, to acquire a pipeline of next-generation therapeutic candidates, proprietary novel biologics technology platform, and a protein engineering and discovery research facility to enhance existing innovation capabilities. The acquisition closed on January 30, 2025.</w:t>
      </w:r>
    </w:p>
    <w:p>
      <w:pPr>
        <w:spacing w:after="0" w:line="176" w:lineRule="exact"/>
        <w:rPr>
          <w:sz w:val="20"/>
          <w:szCs w:val="20"/>
          <w:color w:val="auto"/>
        </w:rPr>
      </w:pPr>
    </w:p>
    <w:p>
      <w:pPr>
        <w:ind w:left="20" w:right="80"/>
        <w:spacing w:after="0" w:line="261" w:lineRule="auto"/>
        <w:rPr>
          <w:sz w:val="20"/>
          <w:szCs w:val="20"/>
          <w:color w:val="auto"/>
        </w:rPr>
      </w:pPr>
      <w:r>
        <w:rPr>
          <w:rFonts w:ascii="Times New Roman" w:cs="Times New Roman" w:eastAsia="Times New Roman" w:hAnsi="Times New Roman"/>
          <w:sz w:val="18"/>
          <w:szCs w:val="18"/>
          <w:color w:val="auto"/>
        </w:rPr>
        <w:t>This transaction adds a pipeline of early-stage drug candidates against high-value targets including delta-like ligand 3, or DLL3, and integrin αvβ6, as well as several other novel targets in discovery stage. We believe these next generation drug candidates fit synergistically with our therapeutics pipeline, enabling expansion to future therapy areas with unmet clinical need. The acquired intellectual property utilizes small engineered antibody formats that enable highly specific cancer targeting, combined with fast tumor uptake and blood clearance.</w:t>
      </w:r>
    </w:p>
    <w:p>
      <w:pPr>
        <w:spacing w:after="0" w:line="180" w:lineRule="exact"/>
        <w:rPr>
          <w:sz w:val="20"/>
          <w:szCs w:val="20"/>
          <w:color w:val="auto"/>
        </w:rPr>
      </w:pPr>
    </w:p>
    <w:p>
      <w:pPr>
        <w:ind w:left="20" w:right="680"/>
        <w:spacing w:after="0" w:line="282" w:lineRule="auto"/>
        <w:rPr>
          <w:sz w:val="20"/>
          <w:szCs w:val="20"/>
          <w:color w:val="auto"/>
        </w:rPr>
      </w:pPr>
      <w:r>
        <w:rPr>
          <w:rFonts w:ascii="Times New Roman" w:cs="Times New Roman" w:eastAsia="Times New Roman" w:hAnsi="Times New Roman"/>
          <w:sz w:val="18"/>
          <w:szCs w:val="18"/>
          <w:color w:val="auto"/>
        </w:rPr>
        <w:t>This technology has the potential to be highly effective for imaging and treating tumors with a broad range of radioisotopes, with alpha emitters of particular interest.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also includes a state-of-the-art research facility in California, staffed by a talented team of discovery, protein engineering and radiopharmaceutical development experts. We expect that these assets will provide us with further in-house capabilities in antibody engineering and preclinical development, as well as a novel biologics platform to create the next generation of Telix precision medicine and therapeutic products, beyond the current clinical-stage pipeline.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 our industry-leading Precision Medicine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Leveraging the success of our first commercial product, Illuccix, we intend to broaden our commercial footprint in precision medicine by:</w:t>
      </w:r>
    </w:p>
    <w:p>
      <w:pPr>
        <w:spacing w:after="0" w:line="207" w:lineRule="exact"/>
        <w:rPr>
          <w:sz w:val="20"/>
          <w:szCs w:val="20"/>
          <w:color w:val="auto"/>
        </w:rPr>
      </w:pPr>
    </w:p>
    <w:p>
      <w:pPr>
        <w:ind w:left="340" w:hanging="238"/>
        <w:spacing w:after="0"/>
        <w:tabs>
          <w:tab w:leader="none" w:pos="340" w:val="left"/>
        </w:tabs>
        <w:numPr>
          <w:ilvl w:val="0"/>
          <w:numId w:val="6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expanding Illuccix into new indications and commercially launching TLX007-CDx in 2025, subject to regulatory approval.</w:t>
      </w:r>
    </w:p>
    <w:p>
      <w:pPr>
        <w:spacing w:after="0" w:line="27" w:lineRule="exact"/>
        <w:rPr>
          <w:rFonts w:ascii="Times New Roman" w:cs="Times New Roman" w:eastAsia="Times New Roman" w:hAnsi="Times New Roman"/>
          <w:sz w:val="18"/>
          <w:szCs w:val="18"/>
          <w:color w:val="0A2E94"/>
        </w:rPr>
      </w:pPr>
    </w:p>
    <w:p>
      <w:pPr>
        <w:ind w:left="340" w:right="180" w:hanging="238"/>
        <w:spacing w:after="0" w:line="250" w:lineRule="auto"/>
        <w:tabs>
          <w:tab w:leader="none" w:pos="340" w:val="left"/>
        </w:tabs>
        <w:numPr>
          <w:ilvl w:val="0"/>
          <w:numId w:val="6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obtaining approval for TLX250-CDx, which will expand our urology portfolio with potential to become the first-in-class imaging agent for clear cell renal cell carcinoma (ccRCC)</w:t>
      </w:r>
    </w:p>
    <w:p>
      <w:pPr>
        <w:ind w:left="340" w:right="180" w:hanging="238"/>
        <w:spacing w:after="0" w:line="250" w:lineRule="auto"/>
        <w:tabs>
          <w:tab w:leader="none" w:pos="340" w:val="left"/>
        </w:tabs>
        <w:numPr>
          <w:ilvl w:val="0"/>
          <w:numId w:val="6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obtaining approval for TLX101-CDx for the imaging of glioma. The application has been granted priority review and designated a PDUFA goal date of April 26, 2025, paving the way for a U.S. commercial launch in 2025.</w:t>
      </w:r>
    </w:p>
    <w:p>
      <w:pPr>
        <w:ind w:left="340" w:right="140" w:hanging="238"/>
        <w:spacing w:after="0" w:line="255" w:lineRule="auto"/>
        <w:tabs>
          <w:tab w:leader="none" w:pos="340" w:val="left"/>
        </w:tabs>
        <w:numPr>
          <w:ilvl w:val="0"/>
          <w:numId w:val="6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enhance the efficiency and effectiveness of imaging procedures to create a competitive advantage. After announcing an agreement with Subtle Medical, we will roll out its SubtlePET™ technology to be used with Illuccix. This FDA-cleared AI-driven solution allows for faster PET scanning – up to 75% time savings without compromising image quality.</w:t>
      </w:r>
    </w:p>
    <w:p>
      <w:pPr>
        <w:spacing w:after="0" w:line="18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To develop and deliver radiopharmaceuticals, which have a relatively short shelf life due to their unique properties, supply chain, manufacturing and logistics are vitally important. Telix Manufacturing Solutions (TMS) is a global network of facilities, where our continued focus and investment in infrastructure and technologies is equipping Telix to deliver patient doses worldwide.</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Telix has made a number of strategic acquisitions to grow our manufacturing capability and footprint. Going forward, TMS will be focused on activities including:</w:t>
      </w:r>
    </w:p>
    <w:p>
      <w:pPr>
        <w:spacing w:after="0" w:line="162" w:lineRule="exact"/>
        <w:rPr>
          <w:sz w:val="20"/>
          <w:szCs w:val="20"/>
          <w:color w:val="auto"/>
        </w:rPr>
      </w:pPr>
    </w:p>
    <w:p>
      <w:pPr>
        <w:ind w:left="340" w:hanging="238"/>
        <w:spacing w:after="0" w:line="261" w:lineRule="auto"/>
        <w:tabs>
          <w:tab w:leader="none" w:pos="340" w:val="left"/>
        </w:tabs>
        <w:numPr>
          <w:ilvl w:val="0"/>
          <w:numId w:val="6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integrating the RLS Radiopharmacies business to significantly expand Telix’s North American manufacturing footprint, and establish a next-generation radiometal production network to benefit Telix and select strategic commercial partners.</w:t>
      </w:r>
    </w:p>
    <w:p>
      <w:pPr>
        <w:ind w:left="340" w:right="160" w:hanging="238"/>
        <w:spacing w:after="0" w:line="250" w:lineRule="auto"/>
        <w:tabs>
          <w:tab w:leader="none" w:pos="340" w:val="left"/>
        </w:tabs>
        <w:numPr>
          <w:ilvl w:val="0"/>
          <w:numId w:val="6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completing accreditation and increasing production in our state-of-the-art GMP production facility in Brussels South, Belgium – one of the largest of its kind in Europe. This will serve as Telix’s primary manufacturing site for the EMEA region, and has also been designed as a central hub for collaborative R&amp;D, including a dedicated laboratory for alpha therapies, widely considered to be the next frontier in radiopharmaceuticals.</w:t>
      </w:r>
    </w:p>
    <w:p>
      <w:pPr>
        <w:spacing w:after="0" w:line="1" w:lineRule="exact"/>
        <w:rPr>
          <w:rFonts w:ascii="Times New Roman" w:cs="Times New Roman" w:eastAsia="Times New Roman" w:hAnsi="Times New Roman"/>
          <w:sz w:val="18"/>
          <w:szCs w:val="18"/>
          <w:color w:val="0A2E94"/>
        </w:rPr>
      </w:pPr>
    </w:p>
    <w:p>
      <w:pPr>
        <w:ind w:left="340" w:right="560" w:hanging="238"/>
        <w:spacing w:after="0" w:line="250" w:lineRule="auto"/>
        <w:tabs>
          <w:tab w:leader="none" w:pos="340" w:val="left"/>
        </w:tabs>
        <w:numPr>
          <w:ilvl w:val="0"/>
          <w:numId w:val="6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expanding the deployment of the ARTMS QIS technology in our production network to increase efficiency and improve yields when producing radioisotopes.</w:t>
      </w:r>
    </w:p>
    <w:p>
      <w:pPr>
        <w:ind w:left="340" w:hanging="238"/>
        <w:spacing w:after="0"/>
        <w:tabs>
          <w:tab w:leader="none" w:pos="340" w:val="left"/>
        </w:tabs>
        <w:numPr>
          <w:ilvl w:val="0"/>
          <w:numId w:val="6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integrating and growing IsoTherapeutics and Optimal Tracers, following their acquisition, which was completed in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Theranostic Approach</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approach enables us to design and develop product candidates to deliver targeted radiation to cancer cells, regardless of where the cancer is in the body, via a systemic radioactive infusion. We aim to use imaging and therapy together to “see and treat” cancer. We refer to this approach as theranostic, which we believe is a powerful way to tackle unmet need in cancer and rare diseases.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ability to harness the power of targeted radiation throughout the patient journey to enhance patient outcomes is a key differentiator.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Radiation Overview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developing targeted radiation across the continuum from diagnosis and staging to treatment, both as stand-alone and combination therapies.</w:t>
      </w:r>
    </w:p>
    <w:p>
      <w:pPr>
        <w:spacing w:after="0" w:line="20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Many existing cancer therapies are non-selective and as a result can act against healthy tissue and vital organs while treating disease. Existing external beam radiation therapy, or EBRT, approaches are effective but typically only deliver localized treatment and cause damage to surrounding tissue. Localized therapeutic approaches rely on the treating physician making assumptions about the extent of disease and can result in imprecise application of treatment.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Treatments that miss small amounts of cancer cells can lead to a recurrence of the cancer or disease.</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Targeted radiation uses a radioactive isotope as a payload that is attached to a targeting agent, such as a small molecule or antibody, with an affinity for specific biomarkers found on the surface of cancerous or diseased cells. Depending on the choice of radioisotope payload, these target agents can deliver either imaging or therapy.</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targeted radiation drug or antibody is administered into the bloodstream and circulates throughout the body. Once administered, the targeted radiation seeks cancerous or diseased cells, including primary tumors and small metastases (where the cancer has spread), upon which it is designed to bind selectively to its target. Some radioactive isotopes have physical properties that may be used to image cancer or rare diseases, for diagnosis and staging purposes.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Higher dose radiation with different alpha- and beta-emitting radioisotopes can be used as therapies to kill cancerous or diseased cells.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Targeting Agent</w:t>
      </w:r>
    </w:p>
    <w:p>
      <w:pPr>
        <w:spacing w:after="0" w:line="31" w:lineRule="exact"/>
        <w:rPr>
          <w:sz w:val="20"/>
          <w:szCs w:val="20"/>
          <w:color w:val="auto"/>
        </w:rPr>
      </w:pPr>
    </w:p>
    <w:p>
      <w:pPr>
        <w:jc w:val="both"/>
        <w:ind w:left="20" w:right="120"/>
        <w:spacing w:after="0" w:line="255" w:lineRule="auto"/>
        <w:rPr>
          <w:sz w:val="20"/>
          <w:szCs w:val="20"/>
          <w:color w:val="auto"/>
        </w:rPr>
      </w:pPr>
      <w:r>
        <w:rPr>
          <w:rFonts w:ascii="Times New Roman" w:cs="Times New Roman" w:eastAsia="Times New Roman" w:hAnsi="Times New Roman"/>
          <w:sz w:val="18"/>
          <w:szCs w:val="18"/>
          <w:color w:val="auto"/>
        </w:rPr>
        <w:t>The targeting agent guides the radiation payload to the targeted cancer cells. The agent is designed to be cancer-specific due to selective affinity for tumor targets that are prevalent in tumors but not healthy tissues. The targeting agents can be either an antibody, engineered antibody fragment, peptide or small molecule, and the choice of targeting agent can impact the other properties of the drug, including:</w:t>
      </w:r>
    </w:p>
    <w:p>
      <w:pPr>
        <w:spacing w:after="0" w:line="184" w:lineRule="exact"/>
        <w:rPr>
          <w:sz w:val="20"/>
          <w:szCs w:val="20"/>
          <w:color w:val="auto"/>
        </w:rPr>
      </w:pPr>
    </w:p>
    <w:p>
      <w:pPr>
        <w:ind w:left="340" w:right="20" w:hanging="238"/>
        <w:spacing w:after="0" w:line="255" w:lineRule="auto"/>
        <w:tabs>
          <w:tab w:leader="none" w:pos="340" w:val="left"/>
        </w:tabs>
        <w:numPr>
          <w:ilvl w:val="0"/>
          <w:numId w:val="6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i w:val="1"/>
          <w:iCs w:val="1"/>
          <w:color w:val="auto"/>
        </w:rPr>
        <w:t>Pharmacokinetics</w:t>
      </w:r>
      <w:r>
        <w:rPr>
          <w:rFonts w:ascii="Times New Roman" w:cs="Times New Roman" w:eastAsia="Times New Roman" w:hAnsi="Times New Roman"/>
          <w:sz w:val="18"/>
          <w:szCs w:val="18"/>
          <w:color w:val="auto"/>
        </w:rPr>
        <w:t>: Peptides and small molecules have a short circulation time (several hours) and therefore require a higher dose of radiation payload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sufficiently irradiate the tumor in therapeutic contexts, which comes at the expense of a resulting higher exposure to the kidney. Antibodies have a longer circulation time (several days), are cleared though the liver and are lost slowly, which can transiently impact the levels of blood cells but results in higher amounts of radiation payload in tumors to maximize the therapeutic effect. The calculations and study required to determine the optimal dose of radiation to be delivered for maximum therapeutic effect with an acceptable safety profile are referred to as dosimetry.</w:t>
      </w:r>
    </w:p>
    <w:p>
      <w:pPr>
        <w:ind w:left="340" w:right="360" w:hanging="238"/>
        <w:spacing w:after="0" w:line="250" w:lineRule="auto"/>
        <w:tabs>
          <w:tab w:leader="none" w:pos="340" w:val="left"/>
        </w:tabs>
        <w:numPr>
          <w:ilvl w:val="0"/>
          <w:numId w:val="6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i w:val="1"/>
          <w:iCs w:val="1"/>
          <w:color w:val="auto"/>
        </w:rPr>
        <w:t>Binding and cancer specificity</w:t>
      </w:r>
      <w:r>
        <w:rPr>
          <w:rFonts w:ascii="Times New Roman" w:cs="Times New Roman" w:eastAsia="Times New Roman" w:hAnsi="Times New Roman"/>
          <w:sz w:val="18"/>
          <w:szCs w:val="18"/>
          <w:color w:val="auto"/>
        </w:rPr>
        <w:t>: Antibodies have evolved in the immune system to be highly selective and, as a well-known class of agents,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to be highly specific to their target. Small molecules and peptides are not as predictable as a delivery platform, however they can be engineered for high selectivity and affinity; their metabolism properties and off-target toxicity are unique to each molecule.</w:t>
      </w:r>
    </w:p>
    <w:p>
      <w:pPr>
        <w:spacing w:after="0" w:line="1" w:lineRule="exact"/>
        <w:rPr>
          <w:rFonts w:ascii="Times New Roman" w:cs="Times New Roman" w:eastAsia="Times New Roman" w:hAnsi="Times New Roman"/>
          <w:sz w:val="18"/>
          <w:szCs w:val="18"/>
          <w:color w:val="0A2E94"/>
        </w:rPr>
      </w:pPr>
    </w:p>
    <w:p>
      <w:pPr>
        <w:ind w:left="340" w:hanging="238"/>
        <w:spacing w:after="0" w:line="250" w:lineRule="auto"/>
        <w:tabs>
          <w:tab w:leader="none" w:pos="340" w:val="left"/>
        </w:tabs>
        <w:numPr>
          <w:ilvl w:val="0"/>
          <w:numId w:val="6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i w:val="1"/>
          <w:iCs w:val="1"/>
          <w:color w:val="auto"/>
        </w:rPr>
        <w:t>Internalization and residualization in the tumor</w:t>
      </w:r>
      <w:r>
        <w:rPr>
          <w:rFonts w:ascii="Times New Roman" w:cs="Times New Roman" w:eastAsia="Times New Roman" w:hAnsi="Times New Roman"/>
          <w:sz w:val="18"/>
          <w:szCs w:val="18"/>
          <w:color w:val="auto"/>
        </w:rPr>
        <w:t>: Once bound to their biological targets, targeting agents can be taken up by cancer cells through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called ‘internalization’. Peptides tend to be returned to the blood or otherwise degraded relatively quickly after internalization. By contrast, antibodies tend to be retained within cancer cells and, with their sustained presence in the blood, tend to accumulate or ‘residualize’ their radiation payload over time which can favor the localization of higher amounts of radiation to the tumor than peptides or small molecules. The slow excretion of antibodies and their ability to highly effectively residualize radiation in tumors means that lower doses of radiation are needed to treat patients; thereby improving supply chain capability and cost of goods.</w:t>
      </w:r>
    </w:p>
    <w:p>
      <w:pPr>
        <w:spacing w:after="0" w:line="2" w:lineRule="exact"/>
        <w:rPr>
          <w:rFonts w:ascii="Times New Roman" w:cs="Times New Roman" w:eastAsia="Times New Roman" w:hAnsi="Times New Roman"/>
          <w:sz w:val="18"/>
          <w:szCs w:val="18"/>
          <w:color w:val="0A2E94"/>
        </w:rPr>
      </w:pPr>
    </w:p>
    <w:p>
      <w:pPr>
        <w:ind w:left="340" w:right="340" w:hanging="238"/>
        <w:spacing w:after="0" w:line="260" w:lineRule="auto"/>
        <w:tabs>
          <w:tab w:leader="none" w:pos="340" w:val="left"/>
        </w:tabs>
        <w:numPr>
          <w:ilvl w:val="0"/>
          <w:numId w:val="6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i w:val="1"/>
          <w:iCs w:val="1"/>
          <w:color w:val="auto"/>
        </w:rPr>
        <w:t>Route of excretion from the body</w:t>
      </w:r>
      <w:r>
        <w:rPr>
          <w:rFonts w:ascii="Times New Roman" w:cs="Times New Roman" w:eastAsia="Times New Roman" w:hAnsi="Times New Roman"/>
          <w:sz w:val="18"/>
          <w:szCs w:val="18"/>
          <w:color w:val="auto"/>
        </w:rPr>
        <w:t>: Small molecules and peptides are primarily excreted in the urine rapidly passing through from the blood into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bladder via the kidneys. Antibodies are cleared via the liver, which is a more radio-tolerant organ.</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general, the properties of small molecules and peptides suit diagnostic targeted radiation agents, as the excess or unbound radiation drug is rapidly lost from the body, resulting in a good contrast between the tumor and background tissues and enabling favorable imaging within hours, allowing patients to be dosed and imaged within the same day. Conversely, the high specificity of antibodies, along with their well validated, predictable characteristics in the body and long retention in the tumor largely favor therapeutic use.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Radio Antibody-Drug Conjugate (rADC)</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refer to our antibody-based agents as rADCs. These rADCs are radiopharmaceuticals that use an antibody as both a homing device and a carrier to deliver a therapeutic radiation payload to a specific target. This property distinguishes them from chemotherapy, which cannot distinguish between healthy cells and tumor cells. rADCs are designed to combine the targeting properties of monoclonal antibodies, which are designed to discriminate between healthy and cancerous tissue, with the cancer-killing capabilities of cytotoxic radiation.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Like conventional non-radioactive ADCs, the potential for rADCs to precisely target cancer cells is designed to enable improved efficacy as more of the therapeutic molecule acts on the tumor cells rather than healthy cells, which has the potential to lead to fewer side effects due to the reduction of off-target activity.</w:t>
      </w:r>
    </w:p>
    <w:p>
      <w:pPr>
        <w:spacing w:after="0" w:line="176"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We are pioneering a novel technology platform designed to optimize the therapeutic window for rADCs, which we refer to as RADmAbs. This proprietary technology uses antibody engineering to modulate the pharmacokinetics of ‘full length’ antibodies such that they are designed to clear faster from the blood while maintaining the same high specificity to their target and tumor localization properties. Since they retain the same overall structure as traditional antibodies, they also share similar characteristics important for commercial development including a standard manufacturing pathway, biological stability, immunogenicity and regulator familiarity.</w:t>
      </w:r>
    </w:p>
    <w:p>
      <w:pPr>
        <w:spacing w:after="0" w:line="183" w:lineRule="exact"/>
        <w:rPr>
          <w:sz w:val="20"/>
          <w:szCs w:val="20"/>
          <w:color w:val="auto"/>
        </w:rPr>
      </w:pPr>
    </w:p>
    <w:p>
      <w:pPr>
        <w:ind w:left="20" w:right="380"/>
        <w:spacing w:after="0" w:line="289" w:lineRule="auto"/>
        <w:rPr>
          <w:sz w:val="20"/>
          <w:szCs w:val="20"/>
          <w:color w:val="auto"/>
        </w:rPr>
      </w:pPr>
      <w:r>
        <w:rPr>
          <w:rFonts w:ascii="Times New Roman" w:cs="Times New Roman" w:eastAsia="Times New Roman" w:hAnsi="Times New Roman"/>
          <w:sz w:val="17"/>
          <w:szCs w:val="17"/>
          <w:color w:val="auto"/>
        </w:rPr>
        <w:t>In January 2025, we acquired patents, know-how and other intellectual property from ImaginAb comprising a proprietary drug discovery platform, a pipeline of early-stage drug candidates against high-value targets, and several other novel targets in discovery stage. The acquired intellectual property utilizes small engineered antibody formats that enable highly specific cancer targeting, combined with fast tumor uptake and blood clearance.</w:t>
      </w:r>
    </w:p>
    <w:p>
      <w:pPr>
        <w:spacing w:after="0" w:line="158" w:lineRule="exact"/>
        <w:rPr>
          <w:sz w:val="20"/>
          <w:szCs w:val="20"/>
          <w:color w:val="auto"/>
        </w:rPr>
      </w:pPr>
    </w:p>
    <w:p>
      <w:pPr>
        <w:ind w:left="20" w:right="360"/>
        <w:spacing w:after="0" w:line="282" w:lineRule="auto"/>
        <w:rPr>
          <w:sz w:val="20"/>
          <w:szCs w:val="20"/>
          <w:color w:val="auto"/>
        </w:rPr>
      </w:pPr>
      <w:r>
        <w:rPr>
          <w:rFonts w:ascii="Times New Roman" w:cs="Times New Roman" w:eastAsia="Times New Roman" w:hAnsi="Times New Roman"/>
          <w:sz w:val="18"/>
          <w:szCs w:val="18"/>
          <w:color w:val="auto"/>
        </w:rPr>
        <w:t>We believe that this technology, alongside our other radiolabeling knowhow and technologies, can be applied to any existing cancer-targeting antibody agent to potentially provide new intellectual property and a life-cycle management option for prospective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Radiation Payload</w:t>
      </w:r>
    </w:p>
    <w:p>
      <w:pPr>
        <w:spacing w:after="0" w:line="31" w:lineRule="exact"/>
        <w:rPr>
          <w:sz w:val="20"/>
          <w:szCs w:val="20"/>
          <w:color w:val="auto"/>
        </w:rPr>
      </w:pPr>
    </w:p>
    <w:p>
      <w:pPr>
        <w:jc w:val="both"/>
        <w:ind w:right="200"/>
        <w:spacing w:after="0" w:line="233" w:lineRule="auto"/>
        <w:rPr>
          <w:sz w:val="20"/>
          <w:szCs w:val="20"/>
          <w:color w:val="auto"/>
        </w:rPr>
      </w:pPr>
      <w:r>
        <w:rPr>
          <w:rFonts w:ascii="Times New Roman" w:cs="Times New Roman" w:eastAsia="Times New Roman" w:hAnsi="Times New Roman"/>
          <w:sz w:val="18"/>
          <w:szCs w:val="18"/>
          <w:color w:val="auto"/>
        </w:rPr>
        <w:t xml:space="preserve">The radioisotope is strongly bound to the target agent molecule either using traditional chemistry or trapping it using a ‘chemical cage’ called a 'linker' or 'chelator'. Different chelators are paired with certain isotopes, such as deferoxamine, a linker that selectively binds with </w:t>
      </w:r>
      <w:r>
        <w:rPr>
          <w:rFonts w:ascii="Times New Roman" w:cs="Times New Roman" w:eastAsia="Times New Roman" w:hAnsi="Times New Roman"/>
          <w:sz w:val="29"/>
          <w:szCs w:val="29"/>
          <w:color w:val="auto"/>
          <w:vertAlign w:val="superscript"/>
        </w:rPr>
        <w:t>89</w:t>
      </w:r>
      <w:r>
        <w:rPr>
          <w:rFonts w:ascii="Times New Roman" w:cs="Times New Roman" w:eastAsia="Times New Roman" w:hAnsi="Times New Roman"/>
          <w:sz w:val="18"/>
          <w:szCs w:val="18"/>
          <w:color w:val="auto"/>
        </w:rPr>
        <w:t xml:space="preserve">Zr (which we use in TLX250-CDx), and the tetraxetan chelator, which binds isotopes like </w:t>
      </w:r>
      <w:r>
        <w:rPr>
          <w:rFonts w:ascii="Times New Roman" w:cs="Times New Roman" w:eastAsia="Times New Roman" w:hAnsi="Times New Roman"/>
          <w:sz w:val="29"/>
          <w:szCs w:val="29"/>
          <w:color w:val="auto"/>
          <w:vertAlign w:val="superscript"/>
        </w:rPr>
        <w:t>177</w:t>
      </w:r>
      <w:r>
        <w:rPr>
          <w:rFonts w:ascii="Times New Roman" w:cs="Times New Roman" w:eastAsia="Times New Roman" w:hAnsi="Times New Roman"/>
          <w:sz w:val="18"/>
          <w:szCs w:val="18"/>
          <w:color w:val="auto"/>
        </w:rPr>
        <w:t xml:space="preserve">Lu (which we use in TLX591) and </w:t>
      </w:r>
      <w:r>
        <w:rPr>
          <w:rFonts w:ascii="Times New Roman" w:cs="Times New Roman" w:eastAsia="Times New Roman" w:hAnsi="Times New Roman"/>
          <w:sz w:val="29"/>
          <w:szCs w:val="29"/>
          <w:color w:val="auto"/>
          <w:vertAlign w:val="superscript"/>
        </w:rPr>
        <w:t>225</w:t>
      </w:r>
      <w:r>
        <w:rPr>
          <w:rFonts w:ascii="Times New Roman" w:cs="Times New Roman" w:eastAsia="Times New Roman" w:hAnsi="Times New Roman"/>
          <w:sz w:val="18"/>
          <w:szCs w:val="18"/>
          <w:color w:val="auto"/>
        </w:rPr>
        <w:t>Ac (which we use in TLX592).</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choice of radioisotope and its decay profile impacts properties of the targeted radiation drug.</w:t>
      </w:r>
    </w:p>
    <w:p>
      <w:pPr>
        <w:spacing w:after="0" w:line="223" w:lineRule="exact"/>
        <w:rPr>
          <w:sz w:val="20"/>
          <w:szCs w:val="20"/>
          <w:color w:val="auto"/>
        </w:rPr>
      </w:pPr>
    </w:p>
    <w:p>
      <w:pPr>
        <w:ind w:left="340" w:right="380" w:hanging="238"/>
        <w:spacing w:after="0" w:line="262" w:lineRule="auto"/>
        <w:tabs>
          <w:tab w:leader="none" w:pos="340" w:val="left"/>
        </w:tabs>
        <w:numPr>
          <w:ilvl w:val="0"/>
          <w:numId w:val="6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i w:val="1"/>
          <w:iCs w:val="1"/>
          <w:color w:val="auto"/>
        </w:rPr>
        <w:t>Diagnostic radioisotopes for imaging</w:t>
      </w:r>
      <w:r>
        <w:rPr>
          <w:rFonts w:ascii="Times New Roman" w:cs="Times New Roman" w:eastAsia="Times New Roman" w:hAnsi="Times New Roman"/>
          <w:sz w:val="18"/>
          <w:szCs w:val="18"/>
          <w:color w:val="auto"/>
        </w:rPr>
        <w:t>: Radioisotopes emitting positrons can be detected by a PET camera. Gamma emissions can be detected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single photon emission computed tomography (SPECT). These are commonly referred to as “scanners.”</w:t>
      </w:r>
    </w:p>
    <w:p>
      <w:pPr>
        <w:ind w:left="340" w:right="420" w:hanging="238"/>
        <w:spacing w:after="0" w:line="192" w:lineRule="auto"/>
        <w:tabs>
          <w:tab w:leader="none" w:pos="340" w:val="left"/>
        </w:tabs>
        <w:numPr>
          <w:ilvl w:val="0"/>
          <w:numId w:val="6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i w:val="1"/>
          <w:iCs w:val="1"/>
          <w:color w:val="auto"/>
        </w:rPr>
        <w:t>Diagnostic radioisotopes for surgery</w:t>
      </w:r>
      <w:r>
        <w:rPr>
          <w:rFonts w:ascii="Times New Roman" w:cs="Times New Roman" w:eastAsia="Times New Roman" w:hAnsi="Times New Roman"/>
          <w:sz w:val="18"/>
          <w:szCs w:val="18"/>
          <w:color w:val="auto"/>
        </w:rPr>
        <w:t>: Both gamma and beta emitting radioisotopes can be used for the interoperative detection of tumors, using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handheld or robotic probe. The most commonly used radioisotope in radio-guided surgery is </w:t>
      </w:r>
      <w:r>
        <w:rPr>
          <w:rFonts w:ascii="Times New Roman" w:cs="Times New Roman" w:eastAsia="Times New Roman" w:hAnsi="Times New Roman"/>
          <w:sz w:val="29"/>
          <w:szCs w:val="29"/>
          <w:color w:val="auto"/>
          <w:vertAlign w:val="superscript"/>
        </w:rPr>
        <w:t>99m</w:t>
      </w:r>
      <w:r>
        <w:rPr>
          <w:rFonts w:ascii="Times New Roman" w:cs="Times New Roman" w:eastAsia="Times New Roman" w:hAnsi="Times New Roman"/>
          <w:sz w:val="18"/>
          <w:szCs w:val="18"/>
          <w:color w:val="auto"/>
        </w:rPr>
        <w:t>Tc.</w:t>
      </w:r>
    </w:p>
    <w:p>
      <w:pPr>
        <w:spacing w:after="0" w:line="1" w:lineRule="exact"/>
        <w:rPr>
          <w:rFonts w:ascii="Times New Roman" w:cs="Times New Roman" w:eastAsia="Times New Roman" w:hAnsi="Times New Roman"/>
          <w:sz w:val="18"/>
          <w:szCs w:val="18"/>
          <w:color w:val="0A2E94"/>
        </w:rPr>
      </w:pPr>
    </w:p>
    <w:p>
      <w:pPr>
        <w:ind w:left="340" w:right="120" w:hanging="238"/>
        <w:spacing w:after="0" w:line="217" w:lineRule="auto"/>
        <w:tabs>
          <w:tab w:leader="none" w:pos="340" w:val="left"/>
        </w:tabs>
        <w:numPr>
          <w:ilvl w:val="0"/>
          <w:numId w:val="69"/>
        </w:numPr>
        <w:rPr>
          <w:rFonts w:ascii="Times New Roman" w:cs="Times New Roman" w:eastAsia="Times New Roman" w:hAnsi="Times New Roman"/>
          <w:sz w:val="17"/>
          <w:szCs w:val="17"/>
          <w:color w:val="0A2E94"/>
        </w:rPr>
      </w:pPr>
      <w:r>
        <w:rPr>
          <w:rFonts w:ascii="Times New Roman" w:cs="Times New Roman" w:eastAsia="Times New Roman" w:hAnsi="Times New Roman"/>
          <w:sz w:val="17"/>
          <w:szCs w:val="17"/>
          <w:i w:val="1"/>
          <w:iCs w:val="1"/>
          <w:color w:val="auto"/>
        </w:rPr>
        <w:t>Radioisotopes for therapy</w:t>
      </w:r>
      <w:r>
        <w:rPr>
          <w:rFonts w:ascii="Times New Roman" w:cs="Times New Roman" w:eastAsia="Times New Roman" w:hAnsi="Times New Roman"/>
          <w:sz w:val="17"/>
          <w:szCs w:val="17"/>
          <w:color w:val="auto"/>
        </w:rPr>
        <w:t>: Radioisotopes with the ability to kill cells for therapeutic effect are classified as either beta- or alpha-emitters, based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their emission profile. Beta emitters (such as </w:t>
      </w:r>
      <w:r>
        <w:rPr>
          <w:rFonts w:ascii="Times New Roman" w:cs="Times New Roman" w:eastAsia="Times New Roman" w:hAnsi="Times New Roman"/>
          <w:sz w:val="28"/>
          <w:szCs w:val="28"/>
          <w:color w:val="auto"/>
          <w:vertAlign w:val="superscript"/>
        </w:rPr>
        <w:t>177</w:t>
      </w:r>
      <w:r>
        <w:rPr>
          <w:rFonts w:ascii="Times New Roman" w:cs="Times New Roman" w:eastAsia="Times New Roman" w:hAnsi="Times New Roman"/>
          <w:sz w:val="17"/>
          <w:szCs w:val="17"/>
          <w:color w:val="auto"/>
        </w:rPr>
        <w:t xml:space="preserve">Lu and </w:t>
      </w:r>
      <w:r>
        <w:rPr>
          <w:rFonts w:ascii="Times New Roman" w:cs="Times New Roman" w:eastAsia="Times New Roman" w:hAnsi="Times New Roman"/>
          <w:sz w:val="28"/>
          <w:szCs w:val="28"/>
          <w:color w:val="auto"/>
          <w:vertAlign w:val="superscript"/>
        </w:rPr>
        <w:t>131</w:t>
      </w:r>
      <w:r>
        <w:rPr>
          <w:rFonts w:ascii="Times New Roman" w:cs="Times New Roman" w:eastAsia="Times New Roman" w:hAnsi="Times New Roman"/>
          <w:sz w:val="17"/>
          <w:szCs w:val="17"/>
          <w:color w:val="auto"/>
        </w:rPr>
        <w:t xml:space="preserve">I) have a longer penetration and may be more suitable for bulky metastatic disease. Alpha-emitters (such as </w:t>
      </w:r>
      <w:r>
        <w:rPr>
          <w:rFonts w:ascii="Times New Roman" w:cs="Times New Roman" w:eastAsia="Times New Roman" w:hAnsi="Times New Roman"/>
          <w:sz w:val="28"/>
          <w:szCs w:val="28"/>
          <w:color w:val="auto"/>
          <w:vertAlign w:val="superscript"/>
        </w:rPr>
        <w:t>211</w:t>
      </w:r>
      <w:r>
        <w:rPr>
          <w:rFonts w:ascii="Times New Roman" w:cs="Times New Roman" w:eastAsia="Times New Roman" w:hAnsi="Times New Roman"/>
          <w:sz w:val="17"/>
          <w:szCs w:val="17"/>
          <w:color w:val="auto"/>
        </w:rPr>
        <w:t xml:space="preserve">At, </w:t>
      </w:r>
      <w:r>
        <w:rPr>
          <w:rFonts w:ascii="Times New Roman" w:cs="Times New Roman" w:eastAsia="Times New Roman" w:hAnsi="Times New Roman"/>
          <w:sz w:val="28"/>
          <w:szCs w:val="28"/>
          <w:color w:val="auto"/>
          <w:vertAlign w:val="superscript"/>
        </w:rPr>
        <w:t>212</w:t>
      </w:r>
      <w:r>
        <w:rPr>
          <w:rFonts w:ascii="Times New Roman" w:cs="Times New Roman" w:eastAsia="Times New Roman" w:hAnsi="Times New Roman"/>
          <w:sz w:val="17"/>
          <w:szCs w:val="17"/>
          <w:color w:val="auto"/>
        </w:rPr>
        <w:t xml:space="preserve">Pb and </w:t>
      </w:r>
      <w:r>
        <w:rPr>
          <w:rFonts w:ascii="Times New Roman" w:cs="Times New Roman" w:eastAsia="Times New Roman" w:hAnsi="Times New Roman"/>
          <w:sz w:val="28"/>
          <w:szCs w:val="28"/>
          <w:color w:val="auto"/>
          <w:vertAlign w:val="superscript"/>
        </w:rPr>
        <w:t>225</w:t>
      </w:r>
      <w:r>
        <w:rPr>
          <w:rFonts w:ascii="Times New Roman" w:cs="Times New Roman" w:eastAsia="Times New Roman" w:hAnsi="Times New Roman"/>
          <w:sz w:val="17"/>
          <w:szCs w:val="17"/>
          <w:color w:val="auto"/>
        </w:rPr>
        <w:t>Ac) and are substantially larger isotopes than beta-emitters and have the potential to deliver very high amounts of energy to cancer cells in closer proximity to these particles, which can decrease the risk of damage to surrounding healthy cells and increase the selectivity and potency of the radiation treatment. Alpha and beta therapies may be complementary, with alpha therapies being more suitable for smaller or disseminated tumors (including micro metastatic disease) and beta therapies being more suitable for treatment of bulkier tumors.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Prostate Cancer and PSMA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Our prostate cancer portfolio programs target PSMA, a protein that is overexpressed on the surface of prostate cancer cells and is low or absent on most normal healthy cells. PSMA has become a major breakthrough in the staging, treatment and management of prostate cancer. Imaging with targeted radiation can identify prostate cancer wherever it is in the body and help guide patient treatment. The PSMA receptor is expressed in over 80% of prostate cancer tumors. This expression of PSMA provides a specific target to design therapeutic and diagnostic agents for the treatment and imaging of prostate cancer.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and Opportunity for Prostate Cancer Treatment</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According to Pharma Intelligence, global incidence of prostate cancer was estimated to be 1,349,000 in 2022 and is expected to reach approximately 1,455,000 by 2027 and in the United States, the incidence of prostate cancer was estimated to be 244,000 in 2022 and is expected to reach approximately 268,000 by 2027. The U.S. market opportunity for PSMA-PET imaging agents in their approved indications is estimated to represent over US$2.4 billion per year. The U.S. market opportunity for PSMA-targeted therapeutic agents is estimated at several billion dollars per year.</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High rates of screening in developed countries mean many men are diagnosed and treated early before their disease has spread. These men receive local therapy, either prostatectomy or EBRT, and may be cured of their disease. However, approximately 15% of patients develop advanced forms of the disease that can spread to other parts of the body. This is known as metastatic prostate cancer.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a study published in 2015, the incidence of mCRPC in the United States was modeled to be 42,970 cases in 2020 and diagnosed cases are estimated to be increasing at a rate of 5% per year, which implies an estimated incidence of approximately 52,000 cases in 2024. Approved treatment options for patients with mCRPC include androgen deprivation therapy, androgen receptor pathway inhibitors, docetaxel chemotherapy, radium-223 for patients with bone-only metastases, PSMA-targeted lutetium-therapy for patients having received prior docetaxel, and poly (ADP-ribose) polymerase (PARP) inhibitors for patients with deleterious germline or mutated somatic homologous recombination repair gene. The global market for systemic treatments for patients with mCRPC is estimated at US$6.9 billion per year.</w:t>
      </w:r>
    </w:p>
    <w:p>
      <w:pPr>
        <w:spacing w:after="0" w:line="19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Pluvicto (</w:t>
      </w:r>
      <w:r>
        <w:rPr>
          <w:rFonts w:ascii="Times New Roman" w:cs="Times New Roman" w:eastAsia="Times New Roman" w:hAnsi="Times New Roman"/>
          <w:sz w:val="29"/>
          <w:szCs w:val="29"/>
          <w:color w:val="auto"/>
          <w:vertAlign w:val="superscript"/>
        </w:rPr>
        <w:t>177</w:t>
      </w:r>
      <w:r>
        <w:rPr>
          <w:rFonts w:ascii="Times New Roman" w:cs="Times New Roman" w:eastAsia="Times New Roman" w:hAnsi="Times New Roman"/>
          <w:sz w:val="18"/>
          <w:szCs w:val="18"/>
          <w:color w:val="auto"/>
        </w:rPr>
        <w:t>Lu vipivotide tetraxetan), marketed by Novartis, was approved by the FDA for the treatment of patients with PSMA-positive mCRPC who have been treated with androgen receptor pathway inhibition and taxane-based chemotherapy in March 2022. Pluvicto is the only FDA-approved PSMA-targeted therapy for the treatment of prostate cancer. Novartis disclosed that Pluvicto recorded net sales of US$980 million in 2023 and reported net sales of US$1,390 million in 2024. Pluvicto uses a small-molecule approach to target the PSMA receptor and is administered in up to six cycles. In a pivotal clinical trial, patients treated with Pluvicto showed an overall response rate of 30%, a median progression-free survival of 8.7 months, and a median overall survival of 15.3 months. There is not a PSMA-targeted lutetium therapy approved in the pre-chemotherapy setting.</w:t>
      </w:r>
    </w:p>
    <w:p>
      <w:pPr>
        <w:spacing w:after="0" w:line="20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Several other systemic radiotherapies are being investigated in clinical trials in the mCRPC setting and across other stages of prostate cancer, and potentially could be commercialized in the future. We consider our most direct potential competitors to be companies developing PSMA-targeted therapies in the mCRPC space, including Novartis, Convergent, Point Biopharma, Eli Lilly &amp; Company Ltd, Lantheus Holdings, Inc, Curium Holding France S.A.S, ARTBIO, Inc., Blue Earth Therapeutics Ltd, Clarity Pharmaceuticals, Fusion Pharmaceuticals, Bayer, Orano Med SAS, Isotopia Molecular Imaging Ltd, ITM Isotope Technologies Munich SE, Janssen Pharmaceuticals, AdvanCell Isotopes Pty Ltd, Alpha-9 Theranostics, Cancer Targeted Technologies, FutureChem Co Ltd., Sinotau Pharmaceutical Group, RadioPharm Theranostics, Precision Molecular, StarPharma, Ambrx Biopharm, Inc., Amgen Inc., Crescendo Therapeutics, Poseida Therapeutics, Regeneron Pharmaceuticals, BioXcel Therapeutics, Lava Therapeutics, Janux Therapeutics, Bivision Pharmaceuticals and Full-Life Technologies. Our competitors also include companies developing other modalities to treat patients with mCRPC. (See “Business—Competition” for additional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Opportunity for Prostate Cancer Imaging</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PSMA-PET imaging is used by clinicians to locate prostate cancer lesions and inform clinical decisions for patients. PSMA-PET imaging is indicated in the United States for prostate cancer patients:</w:t>
      </w:r>
    </w:p>
    <w:p>
      <w:pPr>
        <w:spacing w:after="0" w:line="162" w:lineRule="exact"/>
        <w:rPr>
          <w:sz w:val="20"/>
          <w:szCs w:val="20"/>
          <w:color w:val="auto"/>
        </w:rPr>
      </w:pPr>
    </w:p>
    <w:p>
      <w:pPr>
        <w:ind w:left="340" w:hanging="238"/>
        <w:spacing w:after="0"/>
        <w:tabs>
          <w:tab w:leader="none" w:pos="340" w:val="left"/>
        </w:tabs>
        <w:numPr>
          <w:ilvl w:val="0"/>
          <w:numId w:val="7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with suspected metastasis who are candidates for initial definitive therapy;</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7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with suspected recurrence based on elevated serum PSA level;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7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for selection of patients with metastatic prostate cancer, for whom Pluvicto is indicated.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estimate that, based on current guidelines and clinical practice, the PSMA-PET imaging market opportunity in the United States for these indications represents over 605,000 scans per year, which we estimate may be more than US$2.4 billion.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Guidelines and clinical research suggest potential future utilization of PSMA-PET imaging for:</w:t>
      </w:r>
    </w:p>
    <w:p>
      <w:pPr>
        <w:spacing w:after="0" w:line="225" w:lineRule="exact"/>
        <w:rPr>
          <w:sz w:val="20"/>
          <w:szCs w:val="20"/>
          <w:color w:val="auto"/>
        </w:rPr>
      </w:pPr>
    </w:p>
    <w:p>
      <w:pPr>
        <w:ind w:left="340" w:hanging="238"/>
        <w:spacing w:after="0"/>
        <w:tabs>
          <w:tab w:leader="none" w:pos="340" w:val="left"/>
        </w:tabs>
        <w:numPr>
          <w:ilvl w:val="0"/>
          <w:numId w:val="7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monitoring for progression in non-metastatic and mCRPC patients; and</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7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monitoring response to PSMA-directed radioligand therapy,</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estimate that these areas represent over 225,000 scans per year. We estimate that combined addressable market based on existing and future indications may be more than US$3.3 billion per 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competitors in the prostate cancer imaging market are companies with approved PSMA-PET diagnostics, including Novartis, Lantheus Holdings, Inc., or Lantheus, and Bracco Imaging S.p.A. (through its Blue Earth Diagnostics affiliate). Certain academic institutions, such as UCLA and UCSF, also hold a license for a commercial PSMA-PET diagnostic.</w:t>
      </w:r>
    </w:p>
    <w:p>
      <w:pPr>
        <w:spacing w:after="0" w:line="166" w:lineRule="exact"/>
        <w:rPr>
          <w:sz w:val="20"/>
          <w:szCs w:val="20"/>
          <w:color w:val="auto"/>
        </w:rPr>
      </w:pPr>
    </w:p>
    <w:p>
      <w:pPr>
        <w:spacing w:after="0" w:line="184" w:lineRule="auto"/>
        <w:rPr>
          <w:sz w:val="20"/>
          <w:szCs w:val="20"/>
          <w:color w:val="auto"/>
        </w:rPr>
      </w:pPr>
      <w:r>
        <w:rPr>
          <w:rFonts w:ascii="Times New Roman" w:cs="Times New Roman" w:eastAsia="Times New Roman" w:hAnsi="Times New Roman"/>
          <w:sz w:val="17"/>
          <w:szCs w:val="17"/>
          <w:color w:val="auto"/>
        </w:rPr>
        <w:t xml:space="preserve">In 2020, UCLA and UCSF obtained FDA approval for </w:t>
      </w:r>
      <w:r>
        <w:rPr>
          <w:rFonts w:ascii="Times New Roman" w:cs="Times New Roman" w:eastAsia="Times New Roman" w:hAnsi="Times New Roman"/>
          <w:sz w:val="28"/>
          <w:szCs w:val="28"/>
          <w:color w:val="auto"/>
          <w:vertAlign w:val="superscript"/>
        </w:rPr>
        <w:t>68</w:t>
      </w:r>
      <w:r>
        <w:rPr>
          <w:rFonts w:ascii="Times New Roman" w:cs="Times New Roman" w:eastAsia="Times New Roman" w:hAnsi="Times New Roman"/>
          <w:sz w:val="17"/>
          <w:szCs w:val="17"/>
          <w:color w:val="auto"/>
        </w:rPr>
        <w:t>Ga-PSMA-11, which was the first PSMA-PET imaging agent to be approved by the FDA. Pylarify (</w:t>
      </w:r>
      <w:r>
        <w:rPr>
          <w:rFonts w:ascii="Times New Roman" w:cs="Times New Roman" w:eastAsia="Times New Roman" w:hAnsi="Times New Roman"/>
          <w:sz w:val="28"/>
          <w:szCs w:val="28"/>
          <w:color w:val="auto"/>
          <w:vertAlign w:val="superscript"/>
        </w:rPr>
        <w:t>18</w:t>
      </w:r>
      <w:r>
        <w:rPr>
          <w:rFonts w:ascii="Times New Roman" w:cs="Times New Roman" w:eastAsia="Times New Roman" w:hAnsi="Times New Roman"/>
          <w:sz w:val="17"/>
          <w:szCs w:val="17"/>
          <w:color w:val="auto"/>
        </w:rPr>
        <w:t>F-piflufolastat), marketed by Lantheus, and Illuccix were subsequently approved by the FDA in 2021. Locametz (</w:t>
      </w:r>
      <w:r>
        <w:rPr>
          <w:rFonts w:ascii="Times New Roman" w:cs="Times New Roman" w:eastAsia="Times New Roman" w:hAnsi="Times New Roman"/>
          <w:sz w:val="28"/>
          <w:szCs w:val="28"/>
          <w:color w:val="auto"/>
          <w:vertAlign w:val="superscript"/>
        </w:rPr>
        <w:t>68</w:t>
      </w:r>
      <w:r>
        <w:rPr>
          <w:rFonts w:ascii="Times New Roman" w:cs="Times New Roman" w:eastAsia="Times New Roman" w:hAnsi="Times New Roman"/>
          <w:sz w:val="17"/>
          <w:szCs w:val="17"/>
          <w:color w:val="auto"/>
        </w:rPr>
        <w:t>Ga-PSMA-11), marketed by Novartis, received FDA approval in 2022 and Posluma (</w:t>
      </w:r>
      <w:r>
        <w:rPr>
          <w:rFonts w:ascii="Times New Roman" w:cs="Times New Roman" w:eastAsia="Times New Roman" w:hAnsi="Times New Roman"/>
          <w:sz w:val="28"/>
          <w:szCs w:val="28"/>
          <w:color w:val="auto"/>
          <w:vertAlign w:val="superscript"/>
        </w:rPr>
        <w:t>18</w:t>
      </w:r>
      <w:r>
        <w:rPr>
          <w:rFonts w:ascii="Times New Roman" w:cs="Times New Roman" w:eastAsia="Times New Roman" w:hAnsi="Times New Roman"/>
          <w:sz w:val="17"/>
          <w:szCs w:val="17"/>
          <w:color w:val="auto"/>
        </w:rPr>
        <w:t>F-flotufolastat), marketed by Blue Earth Diagnostics, received FDA approval in 2023. Several other PSMA-PET product candidates are being evaluated in clinical trials for prostate cancer imaging and may be commercialized in the future.</w:t>
      </w:r>
    </w:p>
    <w:p>
      <w:pPr>
        <w:spacing w:after="0" w:line="19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Companies developing PSMA-PET imaging agents include ABX-CRO, Isotopia Molecular Imaging Ltd, Itelpharma, ITM Isotope Technologies Munich SE, Five Eleven Pharma, Fortis Therapeutics, RadioMedix, HTA Co. Ltd and Jiangsu Hengrui Pharmaceuticals Co., Ltd.</w:t>
      </w:r>
    </w:p>
    <w:p>
      <w:pPr>
        <w:spacing w:after="0" w:line="152" w:lineRule="exact"/>
        <w:rPr>
          <w:sz w:val="20"/>
          <w:szCs w:val="20"/>
          <w:color w:val="auto"/>
        </w:rPr>
      </w:pPr>
    </w:p>
    <w:p>
      <w:pPr>
        <w:ind w:right="280"/>
        <w:spacing w:after="0" w:line="184" w:lineRule="auto"/>
        <w:rPr>
          <w:sz w:val="20"/>
          <w:szCs w:val="20"/>
          <w:color w:val="auto"/>
        </w:rPr>
      </w:pPr>
      <w:r>
        <w:rPr>
          <w:rFonts w:ascii="Times New Roman" w:cs="Times New Roman" w:eastAsia="Times New Roman" w:hAnsi="Times New Roman"/>
          <w:sz w:val="17"/>
          <w:szCs w:val="17"/>
          <w:color w:val="auto"/>
        </w:rPr>
        <w:t>Currently approved PSMA-PET imaging compounds use either a gallium-68 isotope (</w:t>
      </w:r>
      <w:r>
        <w:rPr>
          <w:rFonts w:ascii="Times New Roman" w:cs="Times New Roman" w:eastAsia="Times New Roman" w:hAnsi="Times New Roman"/>
          <w:sz w:val="28"/>
          <w:szCs w:val="28"/>
          <w:color w:val="auto"/>
          <w:vertAlign w:val="superscript"/>
        </w:rPr>
        <w:t>68</w:t>
      </w:r>
      <w:r>
        <w:rPr>
          <w:rFonts w:ascii="Times New Roman" w:cs="Times New Roman" w:eastAsia="Times New Roman" w:hAnsi="Times New Roman"/>
          <w:sz w:val="17"/>
          <w:szCs w:val="17"/>
          <w:color w:val="auto"/>
        </w:rPr>
        <w:t>Ga), such as Illuccix, or a fluorine-18 isotope (</w:t>
      </w:r>
      <w:r>
        <w:rPr>
          <w:rFonts w:ascii="Times New Roman" w:cs="Times New Roman" w:eastAsia="Times New Roman" w:hAnsi="Times New Roman"/>
          <w:sz w:val="28"/>
          <w:szCs w:val="28"/>
          <w:color w:val="auto"/>
          <w:vertAlign w:val="superscript"/>
        </w:rPr>
        <w:t>18</w:t>
      </w:r>
      <w:r>
        <w:rPr>
          <w:rFonts w:ascii="Times New Roman" w:cs="Times New Roman" w:eastAsia="Times New Roman" w:hAnsi="Times New Roman"/>
          <w:sz w:val="17"/>
          <w:szCs w:val="17"/>
          <w:color w:val="auto"/>
        </w:rPr>
        <w:t xml:space="preserve">F) for PET imaging. New scientific publications illustrate evidence of important clinical differences between </w:t>
      </w:r>
      <w:r>
        <w:rPr>
          <w:rFonts w:ascii="Times New Roman" w:cs="Times New Roman" w:eastAsia="Times New Roman" w:hAnsi="Times New Roman"/>
          <w:sz w:val="28"/>
          <w:szCs w:val="28"/>
          <w:color w:val="auto"/>
          <w:vertAlign w:val="superscript"/>
        </w:rPr>
        <w:t>68</w:t>
      </w:r>
      <w:r>
        <w:rPr>
          <w:rFonts w:ascii="Times New Roman" w:cs="Times New Roman" w:eastAsia="Times New Roman" w:hAnsi="Times New Roman"/>
          <w:sz w:val="17"/>
          <w:szCs w:val="17"/>
          <w:color w:val="auto"/>
        </w:rPr>
        <w:t xml:space="preserve">Ga and </w:t>
      </w:r>
      <w:r>
        <w:rPr>
          <w:rFonts w:ascii="Times New Roman" w:cs="Times New Roman" w:eastAsia="Times New Roman" w:hAnsi="Times New Roman"/>
          <w:sz w:val="28"/>
          <w:szCs w:val="28"/>
          <w:color w:val="auto"/>
          <w:vertAlign w:val="superscript"/>
        </w:rPr>
        <w:t>18</w:t>
      </w:r>
      <w:r>
        <w:rPr>
          <w:rFonts w:ascii="Times New Roman" w:cs="Times New Roman" w:eastAsia="Times New Roman" w:hAnsi="Times New Roman"/>
          <w:sz w:val="17"/>
          <w:szCs w:val="17"/>
          <w:color w:val="auto"/>
        </w:rPr>
        <w:t xml:space="preserve">F based imaging agents, including a lower rate of false positives with </w:t>
      </w:r>
      <w:r>
        <w:rPr>
          <w:rFonts w:ascii="Times New Roman" w:cs="Times New Roman" w:eastAsia="Times New Roman" w:hAnsi="Times New Roman"/>
          <w:sz w:val="28"/>
          <w:szCs w:val="28"/>
          <w:color w:val="auto"/>
          <w:vertAlign w:val="superscript"/>
        </w:rPr>
        <w:t>68</w:t>
      </w:r>
      <w:r>
        <w:rPr>
          <w:rFonts w:ascii="Times New Roman" w:cs="Times New Roman" w:eastAsia="Times New Roman" w:hAnsi="Times New Roman"/>
          <w:sz w:val="17"/>
          <w:szCs w:val="17"/>
          <w:color w:val="auto"/>
        </w:rPr>
        <w:t xml:space="preserve">Ga imaging agents, which can potentially provide more accurate interpretation and understanding of the extent of disease. Also, </w:t>
      </w:r>
      <w:r>
        <w:rPr>
          <w:rFonts w:ascii="Times New Roman" w:cs="Times New Roman" w:eastAsia="Times New Roman" w:hAnsi="Times New Roman"/>
          <w:sz w:val="28"/>
          <w:szCs w:val="28"/>
          <w:color w:val="auto"/>
          <w:vertAlign w:val="superscript"/>
        </w:rPr>
        <w:t>68</w:t>
      </w:r>
      <w:r>
        <w:rPr>
          <w:rFonts w:ascii="Times New Roman" w:cs="Times New Roman" w:eastAsia="Times New Roman" w:hAnsi="Times New Roman"/>
          <w:sz w:val="17"/>
          <w:szCs w:val="17"/>
          <w:color w:val="auto"/>
        </w:rPr>
        <w:t>Ga-based imaging agents have been shown to help clinicians detect prostate cancer in patients with low disease burden. This early detection can</w:t>
      </w:r>
    </w:p>
    <w:p>
      <w:pPr>
        <w:spacing w:after="0" w:line="3" w:lineRule="exact"/>
        <w:rPr>
          <w:sz w:val="20"/>
          <w:szCs w:val="20"/>
          <w:color w:val="auto"/>
        </w:rPr>
      </w:pPr>
    </w:p>
    <w:p>
      <w:pPr>
        <w:ind w:right="240"/>
        <w:spacing w:after="0" w:line="223" w:lineRule="auto"/>
        <w:rPr>
          <w:sz w:val="20"/>
          <w:szCs w:val="20"/>
          <w:color w:val="auto"/>
        </w:rPr>
      </w:pPr>
      <w:r>
        <w:rPr>
          <w:rFonts w:ascii="Times New Roman" w:cs="Times New Roman" w:eastAsia="Times New Roman" w:hAnsi="Times New Roman"/>
          <w:sz w:val="18"/>
          <w:szCs w:val="18"/>
          <w:color w:val="auto"/>
        </w:rPr>
        <w:t xml:space="preserve">lead to a change in management and better outcomes for patients. Additionally, approved </w:t>
      </w:r>
      <w:r>
        <w:rPr>
          <w:rFonts w:ascii="Times New Roman" w:cs="Times New Roman" w:eastAsia="Times New Roman" w:hAnsi="Times New Roman"/>
          <w:sz w:val="29"/>
          <w:szCs w:val="29"/>
          <w:color w:val="auto"/>
          <w:vertAlign w:val="superscript"/>
        </w:rPr>
        <w:t>68</w:t>
      </w:r>
      <w:r>
        <w:rPr>
          <w:rFonts w:ascii="Times New Roman" w:cs="Times New Roman" w:eastAsia="Times New Roman" w:hAnsi="Times New Roman"/>
          <w:sz w:val="18"/>
          <w:szCs w:val="18"/>
          <w:color w:val="auto"/>
        </w:rPr>
        <w:t xml:space="preserve">Ga-based imaging agents can use a lower radiation dose than approved </w:t>
      </w: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F-based agents, reducing exposure to nuclear medicine physicians and patients.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Therapy – TLX591</w:t>
      </w:r>
    </w:p>
    <w:p>
      <w:pPr>
        <w:spacing w:after="0" w:line="19" w:lineRule="exact"/>
        <w:rPr>
          <w:sz w:val="20"/>
          <w:szCs w:val="20"/>
          <w:color w:val="auto"/>
        </w:rPr>
      </w:pPr>
    </w:p>
    <w:p>
      <w:pPr>
        <w:spacing w:after="0" w:line="197" w:lineRule="auto"/>
        <w:rPr>
          <w:sz w:val="20"/>
          <w:szCs w:val="20"/>
          <w:color w:val="auto"/>
        </w:rPr>
      </w:pPr>
      <w:r>
        <w:rPr>
          <w:rFonts w:ascii="Times New Roman" w:cs="Times New Roman" w:eastAsia="Times New Roman" w:hAnsi="Times New Roman"/>
          <w:sz w:val="18"/>
          <w:szCs w:val="18"/>
          <w:color w:val="auto"/>
        </w:rPr>
        <w:t>TLX591 (</w:t>
      </w:r>
      <w:r>
        <w:rPr>
          <w:rFonts w:ascii="Times New Roman" w:cs="Times New Roman" w:eastAsia="Times New Roman" w:hAnsi="Times New Roman"/>
          <w:sz w:val="29"/>
          <w:szCs w:val="29"/>
          <w:color w:val="auto"/>
          <w:vertAlign w:val="superscript"/>
        </w:rPr>
        <w:t>177</w:t>
      </w:r>
      <w:r>
        <w:rPr>
          <w:rFonts w:ascii="Times New Roman" w:cs="Times New Roman" w:eastAsia="Times New Roman" w:hAnsi="Times New Roman"/>
          <w:sz w:val="18"/>
          <w:szCs w:val="18"/>
          <w:color w:val="auto"/>
        </w:rPr>
        <w:t>Lu rosopatamab tetraxetan) is a rADC directed at PSMA. We are evaluating the safety and efficacy of TLX591 in the ProstACT series of clinical trials. The key evidence from Phase 1 and Phase 2 studies supporting the development of TLX591 includes:</w:t>
      </w:r>
    </w:p>
    <w:p>
      <w:pPr>
        <w:spacing w:after="0" w:line="198" w:lineRule="exact"/>
        <w:rPr>
          <w:sz w:val="20"/>
          <w:szCs w:val="20"/>
          <w:color w:val="auto"/>
        </w:rPr>
      </w:pPr>
    </w:p>
    <w:p>
      <w:pPr>
        <w:ind w:left="340" w:hanging="238"/>
        <w:spacing w:after="0" w:line="257" w:lineRule="auto"/>
        <w:tabs>
          <w:tab w:leader="none" w:pos="340" w:val="left"/>
        </w:tabs>
        <w:numPr>
          <w:ilvl w:val="0"/>
          <w:numId w:val="7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evidence that treatment with TLX591 is well tolerated, including data from the Phase 1 ProstACT SELECT trial, common grade 3 and 4 hematological events included thrombocytopenia, lymphopenia and neutropenia. All hematological events were transient. All drug-related non-hematologic events were grade 1 or 2, with no grade 3 or 4 events;</w:t>
      </w:r>
    </w:p>
    <w:p>
      <w:pPr>
        <w:spacing w:after="0" w:line="1" w:lineRule="exact"/>
        <w:rPr>
          <w:rFonts w:ascii="Times New Roman" w:cs="Times New Roman" w:eastAsia="Times New Roman" w:hAnsi="Times New Roman"/>
          <w:sz w:val="18"/>
          <w:szCs w:val="18"/>
          <w:color w:val="0A2E94"/>
        </w:rPr>
      </w:pPr>
    </w:p>
    <w:p>
      <w:pPr>
        <w:ind w:left="340" w:right="340" w:hanging="238"/>
        <w:spacing w:after="0" w:line="250" w:lineRule="auto"/>
        <w:tabs>
          <w:tab w:leader="none" w:pos="340" w:val="left"/>
        </w:tabs>
        <w:numPr>
          <w:ilvl w:val="0"/>
          <w:numId w:val="7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evidence of efficacy demonstrated following treatment of 242 patients across eight Phase 1 and Phase 2 clinical trials, including up to 42.3 months median survival in a single-arm Phase 2 clinical trial in 17 patients with mCRPC when delivered under a fractionated dosing regimen;</w:t>
      </w:r>
    </w:p>
    <w:p>
      <w:pPr>
        <w:ind w:left="340" w:hanging="238"/>
        <w:spacing w:after="0"/>
        <w:tabs>
          <w:tab w:leader="none" w:pos="340" w:val="left"/>
        </w:tabs>
        <w:numPr>
          <w:ilvl w:val="0"/>
          <w:numId w:val="7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evidence of low rates of off-target organ exposure observed in the ProstACT SELECT trial;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7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convenient two-dose regimen administered over 14 days with low radiation exposure.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an rADC with an antibody targeting agent, we believe that TLX591 may be differentiated from PSMA-targeted therapies leveraging a small molecule approach as it has the potential for:</w:t>
      </w:r>
    </w:p>
    <w:p>
      <w:pPr>
        <w:spacing w:after="0" w:line="162" w:lineRule="exact"/>
        <w:rPr>
          <w:sz w:val="20"/>
          <w:szCs w:val="20"/>
          <w:color w:val="auto"/>
        </w:rPr>
      </w:pPr>
    </w:p>
    <w:p>
      <w:pPr>
        <w:ind w:left="340" w:hanging="238"/>
        <w:spacing w:after="0"/>
        <w:tabs>
          <w:tab w:leader="none" w:pos="340" w:val="left"/>
        </w:tabs>
        <w:numPr>
          <w:ilvl w:val="0"/>
          <w:numId w:val="7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functionally specific to tumor-expressed PSMA, whereas small-molecule PSMA is taken up by endogenous PSMA;</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7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reduced off-target radiation, with reduced potential for undesirable effects including dry eye, xerostomia, and back pain from ganglia irradiation;</w:t>
      </w:r>
    </w:p>
    <w:p>
      <w:pPr>
        <w:spacing w:after="0" w:line="9" w:lineRule="exact"/>
        <w:rPr>
          <w:rFonts w:ascii="Times New Roman" w:cs="Times New Roman" w:eastAsia="Times New Roman" w:hAnsi="Times New Roman"/>
          <w:sz w:val="18"/>
          <w:szCs w:val="18"/>
          <w:color w:val="0A2E94"/>
        </w:rPr>
      </w:pPr>
    </w:p>
    <w:p>
      <w:pPr>
        <w:ind w:left="340" w:right="260" w:hanging="238"/>
        <w:spacing w:after="0" w:line="250" w:lineRule="auto"/>
        <w:tabs>
          <w:tab w:leader="none" w:pos="340" w:val="left"/>
        </w:tabs>
        <w:numPr>
          <w:ilvl w:val="0"/>
          <w:numId w:val="7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longer circulation time and tumor retention, while small molecule PSMA is rapidly excreted with approximately 70% of activity lost after 12 hours; and</w:t>
      </w:r>
    </w:p>
    <w:p>
      <w:pPr>
        <w:ind w:left="340" w:hanging="238"/>
        <w:spacing w:after="0"/>
        <w:tabs>
          <w:tab w:leader="none" w:pos="340" w:val="left"/>
        </w:tabs>
        <w:numPr>
          <w:ilvl w:val="0"/>
          <w:numId w:val="7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shorter dosing regimen of two doses, 14 days apart compared to dosing regimens lasting up to 36 weeks with small molecule PSMA.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Imaging – TLX591-CDx</w:t>
      </w:r>
    </w:p>
    <w:p>
      <w:pPr>
        <w:spacing w:after="0" w:line="19" w:lineRule="exact"/>
        <w:rPr>
          <w:sz w:val="20"/>
          <w:szCs w:val="20"/>
          <w:color w:val="auto"/>
        </w:rPr>
      </w:pPr>
    </w:p>
    <w:p>
      <w:pPr>
        <w:ind w:right="580"/>
        <w:spacing w:after="0" w:line="197" w:lineRule="auto"/>
        <w:rPr>
          <w:sz w:val="20"/>
          <w:szCs w:val="20"/>
          <w:color w:val="auto"/>
        </w:rPr>
      </w:pPr>
      <w:r>
        <w:rPr>
          <w:rFonts w:ascii="Times New Roman" w:cs="Times New Roman" w:eastAsia="Times New Roman" w:hAnsi="Times New Roman"/>
          <w:sz w:val="18"/>
          <w:szCs w:val="18"/>
          <w:color w:val="auto"/>
        </w:rPr>
        <w:t xml:space="preserve">Illuccix (also referred to as TLX591-CDx in some territories where approval has not yet been granted, </w:t>
      </w:r>
      <w:r>
        <w:rPr>
          <w:rFonts w:ascii="Times New Roman" w:cs="Times New Roman" w:eastAsia="Times New Roman" w:hAnsi="Times New Roman"/>
          <w:sz w:val="29"/>
          <w:szCs w:val="29"/>
          <w:color w:val="auto"/>
          <w:vertAlign w:val="superscript"/>
        </w:rPr>
        <w:t>68</w:t>
      </w:r>
      <w:r>
        <w:rPr>
          <w:rFonts w:ascii="Times New Roman" w:cs="Times New Roman" w:eastAsia="Times New Roman" w:hAnsi="Times New Roman"/>
          <w:sz w:val="18"/>
          <w:szCs w:val="18"/>
          <w:color w:val="auto"/>
        </w:rPr>
        <w:t>Ga-PSMA-11) is a preparation for imaging prostate cancer with PET (now approved in the United States, Australia, Canada, Denmark, Norway, and the United Kingdom).</w:t>
      </w:r>
    </w:p>
    <w:p>
      <w:pPr>
        <w:spacing w:after="0" w:line="19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“cold kit” format of Illuccix enables rapid radiolabeling at room temperature with high radiochemical purity and production consistency, suited to the commercial and hospital radiopharmacy setting. Illuccix is approved in the United States, Australia, Canada, Denmark, Norway, and the United Kingdom, and we anticipate receiving approval in other local European Economic Area Member States beginning in the first quarter of 2025, and in Brazil during calendar year 2025. Approved indications for patients with prostate cancer include staging of high-risk patients, identification of suspected recurrence, and selection for PSMA-directed radioligand therapy. We are also exploring potential future utilization in additional indications for prostate cancer patients through our lifecycle management program. These include monitoring progression in metastatic and non-metastatic castration resistant patients, and monitoring response to PSMA-directed radioligand therapy.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evidence supporting the use of Illuccix include:</w:t>
      </w:r>
    </w:p>
    <w:p>
      <w:pPr>
        <w:spacing w:after="0" w:line="225" w:lineRule="exact"/>
        <w:rPr>
          <w:sz w:val="20"/>
          <w:szCs w:val="20"/>
          <w:color w:val="auto"/>
        </w:rPr>
      </w:pPr>
    </w:p>
    <w:p>
      <w:pPr>
        <w:ind w:left="340" w:hanging="238"/>
        <w:spacing w:after="0"/>
        <w:tabs>
          <w:tab w:leader="none" w:pos="340" w:val="left"/>
        </w:tabs>
        <w:numPr>
          <w:ilvl w:val="0"/>
          <w:numId w:val="7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broad availability in the United States through over 245 radiopharmacies and with flexible scheduling;</w:t>
      </w:r>
    </w:p>
    <w:p>
      <w:pPr>
        <w:spacing w:after="0" w:line="27" w:lineRule="exact"/>
        <w:rPr>
          <w:rFonts w:ascii="Times New Roman" w:cs="Times New Roman" w:eastAsia="Times New Roman" w:hAnsi="Times New Roman"/>
          <w:sz w:val="18"/>
          <w:szCs w:val="18"/>
          <w:color w:val="0A2E94"/>
        </w:rPr>
      </w:pPr>
    </w:p>
    <w:p>
      <w:pPr>
        <w:ind w:left="340" w:right="160" w:hanging="238"/>
        <w:spacing w:after="0" w:line="250" w:lineRule="auto"/>
        <w:tabs>
          <w:tab w:leader="none" w:pos="340" w:val="left"/>
        </w:tabs>
        <w:numPr>
          <w:ilvl w:val="0"/>
          <w:numId w:val="7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validated accuracy compared to other PSMA imaging agents, including lower rate of false positives and efficacy in patients with low disease burden; and</w:t>
      </w:r>
    </w:p>
    <w:p>
      <w:pPr>
        <w:ind w:left="340" w:hanging="238"/>
        <w:spacing w:after="0"/>
        <w:tabs>
          <w:tab w:leader="none" w:pos="340" w:val="left"/>
        </w:tabs>
        <w:numPr>
          <w:ilvl w:val="0"/>
          <w:numId w:val="7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potential for expanded clinical utility based on guidelines and clinical research.</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Illuccix was granted transitional pass-through payment status by CMS, effective July 2022 for a three-year period. This status enables CMS to provide separate payments for Illuccix and the PET-CT scan when performed with Illuccix in the hospital outpatient setting.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Imaging – TLX007-CDx</w:t>
      </w:r>
    </w:p>
    <w:p>
      <w:pPr>
        <w:spacing w:after="0" w:line="31" w:lineRule="exact"/>
        <w:rPr>
          <w:sz w:val="20"/>
          <w:szCs w:val="20"/>
          <w:color w:val="auto"/>
        </w:rPr>
      </w:pPr>
    </w:p>
    <w:p>
      <w:pPr>
        <w:ind w:right="300"/>
        <w:spacing w:after="0" w:line="208" w:lineRule="auto"/>
        <w:rPr>
          <w:sz w:val="20"/>
          <w:szCs w:val="20"/>
          <w:color w:val="auto"/>
        </w:rPr>
      </w:pPr>
      <w:r>
        <w:rPr>
          <w:rFonts w:ascii="Times New Roman" w:cs="Times New Roman" w:eastAsia="Times New Roman" w:hAnsi="Times New Roman"/>
          <w:sz w:val="18"/>
          <w:szCs w:val="18"/>
          <w:color w:val="auto"/>
        </w:rPr>
        <w:t xml:space="preserve">We are developing TLX007-CDx, a new cold kit for the preparation of PSMA-PET imaging for prostate cancer. TLX007-CDx is designed to have an extended distribution profile compared to currently approved </w:t>
      </w:r>
      <w:r>
        <w:rPr>
          <w:rFonts w:ascii="Times New Roman" w:cs="Times New Roman" w:eastAsia="Times New Roman" w:hAnsi="Times New Roman"/>
          <w:sz w:val="29"/>
          <w:szCs w:val="29"/>
          <w:color w:val="auto"/>
          <w:vertAlign w:val="superscript"/>
        </w:rPr>
        <w:t>68</w:t>
      </w:r>
      <w:r>
        <w:rPr>
          <w:rFonts w:ascii="Times New Roman" w:cs="Times New Roman" w:eastAsia="Times New Roman" w:hAnsi="Times New Roman"/>
          <w:sz w:val="18"/>
          <w:szCs w:val="18"/>
          <w:color w:val="auto"/>
        </w:rPr>
        <w:t xml:space="preserve">Ga PSMA-PET imaging agents due to the use of </w:t>
      </w:r>
      <w:r>
        <w:rPr>
          <w:rFonts w:ascii="Times New Roman" w:cs="Times New Roman" w:eastAsia="Times New Roman" w:hAnsi="Times New Roman"/>
          <w:sz w:val="29"/>
          <w:szCs w:val="29"/>
          <w:color w:val="auto"/>
          <w:vertAlign w:val="superscript"/>
        </w:rPr>
        <w:t>68</w:t>
      </w:r>
      <w:r>
        <w:rPr>
          <w:rFonts w:ascii="Times New Roman" w:cs="Times New Roman" w:eastAsia="Times New Roman" w:hAnsi="Times New Roman"/>
          <w:sz w:val="18"/>
          <w:szCs w:val="18"/>
          <w:color w:val="auto"/>
        </w:rPr>
        <w:t>Ga sourced from newer high activity generators and cyclotrons.</w:t>
      </w:r>
    </w:p>
    <w:p>
      <w:pPr>
        <w:spacing w:after="0" w:line="19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believe that TLX007-CDx may further expand the availability and distribution of PSMA-PET imaging due to its longer shelf life and resulting expanded distribution radius. We believe that TLX007-CDx has the potential to address unmet needs by extending availability of PSMA-PET imaging to substantially all PET/CT locations in the United States. Many PET/CT imaging sites that are not served by approved PSMA-PET imaging agents are located in rural and underserved areas.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conducted a Phase 1 clinical trial of TLX007-CDx to compare the biodistribution of TLX007-CDx and Illuccix in normal tissues and major organs, and in prostate cancer deposits. This trial met its primary objective by demonstrating that there were no differences between TLX007-CDx and Illuccix in the biodistribution in normal tissues and organs, or in prostate cancer deposits, based on 11 evaluable patients. In the trial, each patient received a single dose of Illuccix followed by PET imaging and within seven days, received TLX007-CDx followed by PET imaging. There were no serious adverse events reported in the trial. In May 2024, based on the results of such trial, we submitted an NDA to the FDA for TLX007-CDx for the imaging of patients with prostate cancer. In July 2024, the FDA accepted the NDA for TLX007-CDx and assigned a PDUFA goal date of March 24, 2025. There is no guarantee that the FDA will approve the NDA by the PDUFA goal date, if at all.</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Data – TLX591</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To date, 242 patients have been treated across eight Phase 1 and 2 trials of TLX591. We believe these data cumulatively support the clinical validity of our intended fractionated dosing, which is designed to split a dose over a longer treatment cycle to decrease toxicity without compromising efficacy. In an open-label, single-arm Phase 2 clinical trial with six experimental dose cohorts of TLX591 of 33 patients, we reported a 42.3 month median survival in 17 patients with advanced mCRPC treated at the higher dose level when TLX591 was delivered under a fractionated dosing regimen.</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Median survival was 19.6 months at the lower dose level and was 27.8 months across those dose cohorts. At the higher dose level, 23.5% and 35.3% of patients had Grade 3 and 4 neutropenia, respectively, and 29.4% and 58.8% of patients had Grade 3 and 4 thrombocytopenia, respectively. The trial met its primary endpoint, which was to identify the maximum tolerated dose of TLX591 when administered in two doses two weeks apart. The survival benefits were a secondary endpoint. This trial did not contain a control group and was not powered to measure statistical significance of the survival benefit, which is a limitation of single-arm trials.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purpose of the ProstACT SELECT trial is to evaluate the utility of PSMA imaging to select patients for rADC-based PSMA therapy and to confirm the biodistribution of TLX591 with two doses administered 14 days apart. The primary clinical objectives are to determine whole body distribution and organ radiation dose and assess the safety and tolerability profile of TLX591, when administered in combination with standard of care in second-line mCRPC. The evaluable population was 28 patients of a total 30 enrolled in the trial. The first cohort of five patients each received a 27 millicurie dose followed by a 76 mCi dose for accuracy of biodistribution determination. The second cohort of 23 patients each received two 76 mCi doses. These patients included a heterogeneous patient population of low, medium and high disease burden, with the majority of patients having undergone two prior lines of therapy.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interim data, the trial appears to have achieved its primary safety and tolerability objectives.</w:t>
      </w:r>
    </w:p>
    <w:p>
      <w:pPr>
        <w:spacing w:after="0" w:line="225"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Interim data from the ProstACT SELECT trial suggested evidence of high on-target PSMA tumor-binding and radiation delivery to bone, nodal, and visceral metastases while minimizing uptake and toxicity concerns in kidney and salivary glands. We believe this biodistribution is significant when compared to small molecule therapeutic and diagnostic PSMA agents, as uptake may not be strictly limited to PSMA cancerous tissue.</w:t>
      </w:r>
    </w:p>
    <w:p>
      <w:pPr>
        <w:spacing w:after="0" w:line="166" w:lineRule="exact"/>
        <w:rPr>
          <w:sz w:val="20"/>
          <w:szCs w:val="20"/>
          <w:color w:val="auto"/>
        </w:rPr>
      </w:pPr>
    </w:p>
    <w:p>
      <w:pPr>
        <w:ind w:right="180"/>
        <w:spacing w:after="0" w:line="217" w:lineRule="auto"/>
        <w:rPr>
          <w:sz w:val="20"/>
          <w:szCs w:val="20"/>
          <w:color w:val="auto"/>
        </w:rPr>
      </w:pPr>
      <w:r>
        <w:rPr>
          <w:rFonts w:ascii="Times New Roman" w:cs="Times New Roman" w:eastAsia="Times New Roman" w:hAnsi="Times New Roman"/>
          <w:sz w:val="18"/>
          <w:szCs w:val="18"/>
          <w:color w:val="auto"/>
        </w:rPr>
        <w:t xml:space="preserve">We also observed evidence of consistent lesion delineation between TLX591 and </w:t>
      </w:r>
      <w:r>
        <w:rPr>
          <w:rFonts w:ascii="Times New Roman" w:cs="Times New Roman" w:eastAsia="Times New Roman" w:hAnsi="Times New Roman"/>
          <w:sz w:val="29"/>
          <w:szCs w:val="29"/>
          <w:color w:val="auto"/>
          <w:vertAlign w:val="superscript"/>
        </w:rPr>
        <w:t>68</w:t>
      </w:r>
      <w:r>
        <w:rPr>
          <w:rFonts w:ascii="Times New Roman" w:cs="Times New Roman" w:eastAsia="Times New Roman" w:hAnsi="Times New Roman"/>
          <w:sz w:val="18"/>
          <w:szCs w:val="18"/>
          <w:color w:val="auto"/>
        </w:rPr>
        <w:t>Ga-PSMA-11 imaging, within the detection sensitivity and resolution limits of SPECT, evidence of uptake and retention in tumor and metastases up to 14 days post injection, the highest absorbed dose being in the liver (clearance organ) with minimal uptake in salivary glands, and a long retention period that was evidence of internalization.</w:t>
      </w:r>
    </w:p>
    <w:p>
      <w:pPr>
        <w:spacing w:after="0" w:line="19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interim ProstACT SELECT data also provided evidence of the potential clinical advantage of the short, simple treatment regimen of two doses administered 14 days apart.</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this interim data, 21% of patients experienced grade 3 thrombocytopenia and (6/28), 32% experienced grade 3 neutropenia (9/28), 21% experienced grade 4 thrombocytopenia (6/28) and 4% experienced grade 4 neutropenia (1/28). Four patients received intervention in the form of platelets, growth factors or both. All hematologic events were transient and reversible. Four patients (13%) received intervention in the form of platelets, growth factors or both. All treatment related non-hematologic events were grade 1 or grade 2 and generally mild. The most prevalent non-hematological events were fatigue (76%), nausea (23%) and loss of appetite (20%).</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May 2024, based on interim data, we reported that the trial demonstrated a median radiographic progression-free survival of 8.8 months, a secondary objective of the trial, based on an evaluable patient population of 23 patients who each received two 76 mCi doses of TLX591.</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also investigating TLX591 in the Phase 3 ProstACT GLOBAL clinical trial. We expect this trial to enroll 30 patients in a dosimetry and safety lead-in portion in replicating the prior study using the product candidate specifications intended for commercial release and then proceed to a randomized treatment expansion portion, in up to approximately 490 patients. The trial is a multi-national, multi-center, prospective, randomized, controlled, open label study designed to investigate and confirm the benefits and risks associated with TLX591 a high-affinity PSMA-targeted rADC that delivers DNA breaking radiation directly to PSMA-positive bone, nodal, or visceral metastases in patients with mCRPC. The trial will enroll patients that have PSMA-positive mCRPC who have experienced disease progression following treatment with an androgen receptor pathway inhibitor (abiraterone or enzalutamide) that was received in either the metastatic castration-sensitive prostate cancer or first-line mCRPC treatment setting. The primary endpoint of the randomized portion of the trial is radiographic progression-free survival and secondary endpoints include overall survival, objective response rate, time to first symptomatic skeletal events, PFS, PSA decline of more than 50%, quality of life and safety and tolerability.</w:t>
      </w:r>
    </w:p>
    <w:p>
      <w:pPr>
        <w:spacing w:after="0" w:line="1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is the first Phase 3 trial to evaluate TLX591 in combination with the standard of care (androgen receptor pathway inhibition or docetaxel) compared to the standard of care alone. The use of TLX591 with current real-world standard of care was intended to differentiate the ProstACT GLOBAL trial from other PSMA trials and reflects our continued innovation in prostate cancer care and commitment to patient outcomes.1</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began dosing patients at Australian sites in November 2023. We received authorization to conduct the trial in the United States in April 2024 and are actively dosing patients at multiple clinical trial sites. We expect to expand the trial into Europe, subject to regulatory approvals.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TLX592 – Alpha-PSMA</w:t>
      </w:r>
    </w:p>
    <w:p>
      <w:pPr>
        <w:spacing w:after="0" w:line="31"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Through our TLX592 program, we are also exploring how the conjugation of an antibody vector with an alpha-emitting isotope might deliver a next generation rADC with a different therapeutic profile. We believe that TLX592 may be suitable for patients with early-stage mCRPC with a low disease burden and for patients with late-stage mCRPC who are no longer responding to PSMA-therapy.</w:t>
      </w:r>
    </w:p>
    <w:p>
      <w:pPr>
        <w:spacing w:after="0" w:line="176"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TLX592 (</w:t>
      </w:r>
      <w:r>
        <w:rPr>
          <w:rFonts w:ascii="Times New Roman" w:cs="Times New Roman" w:eastAsia="Times New Roman" w:hAnsi="Times New Roman"/>
          <w:sz w:val="29"/>
          <w:szCs w:val="29"/>
          <w:color w:val="auto"/>
          <w:vertAlign w:val="superscript"/>
        </w:rPr>
        <w:t>64</w:t>
      </w:r>
      <w:r>
        <w:rPr>
          <w:rFonts w:ascii="Times New Roman" w:cs="Times New Roman" w:eastAsia="Times New Roman" w:hAnsi="Times New Roman"/>
          <w:sz w:val="18"/>
          <w:szCs w:val="18"/>
          <w:color w:val="auto"/>
        </w:rPr>
        <w:t>Cu/</w:t>
      </w:r>
      <w:r>
        <w:rPr>
          <w:rFonts w:ascii="Times New Roman" w:cs="Times New Roman" w:eastAsia="Times New Roman" w:hAnsi="Times New Roman"/>
          <w:sz w:val="29"/>
          <w:szCs w:val="29"/>
          <w:color w:val="auto"/>
          <w:vertAlign w:val="superscript"/>
        </w:rPr>
        <w:t>225</w:t>
      </w:r>
      <w:r>
        <w:rPr>
          <w:rFonts w:ascii="Times New Roman" w:cs="Times New Roman" w:eastAsia="Times New Roman" w:hAnsi="Times New Roman"/>
          <w:sz w:val="18"/>
          <w:szCs w:val="18"/>
          <w:color w:val="auto"/>
        </w:rPr>
        <w:t>Ac-RADmAb), is our next generation prostate cancer therapy candidate for targeted alpha therapy and is our first clinical program based on our proprietary RADmAb-engineered antibody technology. The engineered antibody vector is designed for faster elimination from circulation than standard antibodies and slower elimination than small molecules that may result in side effects. It is also designed to enable reduced bone marrow residence time to mitigate the risk of hematologic toxicity while retaining PSMA-mediated tumor localization and exertion of cytotoxic activity. TLX592 is designed to be cleared by the liver without exocrine uptake.</w:t>
      </w:r>
    </w:p>
    <w:p>
      <w:pPr>
        <w:spacing w:after="0" w:line="200"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 xml:space="preserve">We have conducted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studies using an LNCaP (PSMA positive) tumor model and observed that treatment with TLX592 resulted in a significant improvement in survival time of nude mice compared to a phosphate buffered saline treated control group. We studied the toxicological profile in CD1 mice and did not observe any treatment-related toxicity up to the highest dose level.</w:t>
      </w:r>
    </w:p>
    <w:p>
      <w:pPr>
        <w:spacing w:after="0" w:line="165" w:lineRule="exact"/>
        <w:rPr>
          <w:sz w:val="20"/>
          <w:szCs w:val="20"/>
          <w:color w:val="auto"/>
        </w:rPr>
      </w:pPr>
    </w:p>
    <w:p>
      <w:pPr>
        <w:ind w:left="20" w:right="40"/>
        <w:spacing w:after="0" w:line="194" w:lineRule="auto"/>
        <w:rPr>
          <w:sz w:val="20"/>
          <w:szCs w:val="20"/>
          <w:color w:val="auto"/>
        </w:rPr>
      </w:pPr>
      <w:r>
        <w:rPr>
          <w:rFonts w:ascii="Times New Roman" w:cs="Times New Roman" w:eastAsia="Times New Roman" w:hAnsi="Times New Roman"/>
          <w:sz w:val="18"/>
          <w:szCs w:val="18"/>
          <w:color w:val="auto"/>
        </w:rPr>
        <w:t>We conducted the Phase 1 CUPID trial in which we evaluated TLX592 with a beta-emitting isotope (</w:t>
      </w:r>
      <w:r>
        <w:rPr>
          <w:rFonts w:ascii="Times New Roman" w:cs="Times New Roman" w:eastAsia="Times New Roman" w:hAnsi="Times New Roman"/>
          <w:sz w:val="29"/>
          <w:szCs w:val="29"/>
          <w:color w:val="auto"/>
          <w:vertAlign w:val="superscript"/>
        </w:rPr>
        <w:t>64</w:t>
      </w:r>
      <w:r>
        <w:rPr>
          <w:rFonts w:ascii="Times New Roman" w:cs="Times New Roman" w:eastAsia="Times New Roman" w:hAnsi="Times New Roman"/>
          <w:sz w:val="18"/>
          <w:szCs w:val="18"/>
          <w:color w:val="auto"/>
        </w:rPr>
        <w:t xml:space="preserve">Cu) in 12 patients with advanced prostate cancer prior to commencing therapeutic studies with </w:t>
      </w:r>
      <w:r>
        <w:rPr>
          <w:rFonts w:ascii="Times New Roman" w:cs="Times New Roman" w:eastAsia="Times New Roman" w:hAnsi="Times New Roman"/>
          <w:sz w:val="29"/>
          <w:szCs w:val="29"/>
          <w:color w:val="auto"/>
          <w:vertAlign w:val="superscript"/>
        </w:rPr>
        <w:t>225</w:t>
      </w:r>
      <w:r>
        <w:rPr>
          <w:rFonts w:ascii="Times New Roman" w:cs="Times New Roman" w:eastAsia="Times New Roman" w:hAnsi="Times New Roman"/>
          <w:sz w:val="18"/>
          <w:szCs w:val="18"/>
          <w:color w:val="auto"/>
        </w:rPr>
        <w:t xml:space="preserve">Ac, an alpha-emitting isotope. We do not intend to develop diagnostic imaging applications with TLX592. We used </w:t>
      </w:r>
      <w:r>
        <w:rPr>
          <w:rFonts w:ascii="Times New Roman" w:cs="Times New Roman" w:eastAsia="Times New Roman" w:hAnsi="Times New Roman"/>
          <w:sz w:val="29"/>
          <w:szCs w:val="29"/>
          <w:color w:val="auto"/>
          <w:vertAlign w:val="superscript"/>
        </w:rPr>
        <w:t>64</w:t>
      </w:r>
      <w:r>
        <w:rPr>
          <w:rFonts w:ascii="Times New Roman" w:cs="Times New Roman" w:eastAsia="Times New Roman" w:hAnsi="Times New Roman"/>
          <w:sz w:val="18"/>
          <w:szCs w:val="18"/>
          <w:color w:val="auto"/>
        </w:rPr>
        <w:t xml:space="preserve">Cu to understand safety, pharmacology and dosimetry prior to use of an alpha-emitting isotope as </w:t>
      </w:r>
      <w:r>
        <w:rPr>
          <w:rFonts w:ascii="Times New Roman" w:cs="Times New Roman" w:eastAsia="Times New Roman" w:hAnsi="Times New Roman"/>
          <w:sz w:val="29"/>
          <w:szCs w:val="29"/>
          <w:color w:val="auto"/>
          <w:vertAlign w:val="superscript"/>
        </w:rPr>
        <w:t>64</w:t>
      </w:r>
      <w:r>
        <w:rPr>
          <w:rFonts w:ascii="Times New Roman" w:cs="Times New Roman" w:eastAsia="Times New Roman" w:hAnsi="Times New Roman"/>
          <w:sz w:val="18"/>
          <w:szCs w:val="18"/>
          <w:color w:val="auto"/>
        </w:rPr>
        <w:t xml:space="preserve">Cu is detectable by PET whereas </w:t>
      </w:r>
      <w:r>
        <w:rPr>
          <w:rFonts w:ascii="Times New Roman" w:cs="Times New Roman" w:eastAsia="Times New Roman" w:hAnsi="Times New Roman"/>
          <w:sz w:val="29"/>
          <w:szCs w:val="29"/>
          <w:color w:val="auto"/>
          <w:vertAlign w:val="superscript"/>
        </w:rPr>
        <w:t>225</w:t>
      </w:r>
      <w:r>
        <w:rPr>
          <w:rFonts w:ascii="Times New Roman" w:cs="Times New Roman" w:eastAsia="Times New Roman" w:hAnsi="Times New Roman"/>
          <w:sz w:val="18"/>
          <w:szCs w:val="18"/>
          <w:color w:val="auto"/>
        </w:rPr>
        <w:t xml:space="preserve">Ac is not detectable by PET. We treated patients with PSMA avid disease based on Illuccix imaging, across three dose levels to assess safety profile, pharmacokinetics, biodistribution and dosimetry. In May 2024, we reported that, based on preliminary results from 11 evaluable patients, we observed accelerated elimination from blood circulation compared to the standard antibody used with TLX591 and observed similar on-target and off-target biodistribution and liver clearance, which we believe are important characteristics for an alpha-emitting agent. The trial established a baseline dosing schedule for future trials of TLX592 using </w:t>
      </w:r>
      <w:r>
        <w:rPr>
          <w:rFonts w:ascii="Times New Roman" w:cs="Times New Roman" w:eastAsia="Times New Roman" w:hAnsi="Times New Roman"/>
          <w:sz w:val="29"/>
          <w:szCs w:val="29"/>
          <w:color w:val="auto"/>
          <w:vertAlign w:val="superscript"/>
        </w:rPr>
        <w:t>225</w:t>
      </w:r>
      <w:r>
        <w:rPr>
          <w:rFonts w:ascii="Times New Roman" w:cs="Times New Roman" w:eastAsia="Times New Roman" w:hAnsi="Times New Roman"/>
          <w:sz w:val="18"/>
          <w:szCs w:val="18"/>
          <w:color w:val="auto"/>
        </w:rPr>
        <w:t xml:space="preserve">Ac. There were no serious adverse events observed in the trial. We plan to initiate a Phase 1/2 trial designed to evaluate the safety and efficacy of </w:t>
      </w:r>
      <w:r>
        <w:rPr>
          <w:rFonts w:ascii="Times New Roman" w:cs="Times New Roman" w:eastAsia="Times New Roman" w:hAnsi="Times New Roman"/>
          <w:sz w:val="29"/>
          <w:szCs w:val="29"/>
          <w:color w:val="auto"/>
          <w:vertAlign w:val="superscript"/>
        </w:rPr>
        <w:t>225</w:t>
      </w:r>
      <w:r>
        <w:rPr>
          <w:rFonts w:ascii="Times New Roman" w:cs="Times New Roman" w:eastAsia="Times New Roman" w:hAnsi="Times New Roman"/>
          <w:sz w:val="18"/>
          <w:szCs w:val="18"/>
          <w:color w:val="auto"/>
        </w:rPr>
        <w:t>Ac-labelled TLX592 in the second half of 2025, subject to regulatory approval.</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Kidney Cancer and CAIX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CAIX is a protein expressed on the surface of ccRCC and other solid tumors, including bladder or urothelial, breast, brain, cervix, colon, esophagus, head and neck, lung, ovarian, pancreatic and vulval cancers. CAIX is overexpressed in over 94% of ccRCC tumor cells and has limited expression on healthy tissue.</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CAIX is often expressed in hypoxic (oxygenated) tumor cells, which are characteristic of advanced disease with typically poor treatment outcomes. Hypoxic tumors are also typically more aggressive and less responsive to current treatments, particularly immunotherapies. A published study has shown that tumor sections from patients that failed to respond to PD-1 blockade therapy showed significantly higher CAIX expression than those that responded (n = 19), suggesting that CAIX expression is associated with poor response to immunotherapy. Furthermore, a published study has demonstrated that in 117 hepatocellular carcinoma patients, positive CAIX expression correlated with reduced disease-free survival and overall survival.</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the correlation between hypoxia and disease progression, along with therapy resistance, underscores the potential of this target. Whereas normal endogenous expression of CAIX is very low, CAIX has been found to be differentially expressed on Tregs in the tumor microenvironment in a number of solid tumors. We are developing products for the detection and treatment of ccRCC and investigating the potential of CAIX as a pan-cancer target in multiple tumor types.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and Opportunity for Kidney Cancer Therapy</w:t>
      </w:r>
    </w:p>
    <w:p>
      <w:pPr>
        <w:spacing w:after="0" w:line="3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estimate that over 25% of ccRCC patients, equivalent to over 16,000 patients per year in the United States, have metastatic RCC. Approved treatment options for ccRCC patients include immunotherapy, tyrosine kinase inhibitors, and mTOR inhibitors. The global market for systemic RCC treatment is estimated to be over US$9.1 billion per year.</w:t>
      </w:r>
    </w:p>
    <w:p>
      <w:pPr>
        <w:spacing w:after="0" w:line="18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are exploring the use of TLX250 for the treatment of ccRCC, either in combination with an immunotherapy or as a monotherapy, to treat metastatic disease expressing the CAIX receptor. There is a significant need for new therapeutic options for patients with advanced kidney cancer, given its inherent resistance to conventional chemotherapy and radiotherapy. Despite the transformative impact of immunotherapies on the prognosis of patients with metastatic kidney cancer, a considerable number fail to respond adequately and eventually progress.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An increasing body of scientific evidence suggests low doses of targeted radiation can potentially overcome immune resistance. This approach, known as immunological “priming,” has the potential to render tumors more susceptible to cancer immunotherapy. Several pre-clinical studies have shown an enhanced therapeutic outcome of checkpoint inhibitors when they are administered after a systemic radiotherapy, including rendering immunologically inert tumors sensitive to treatment.</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is currently no CAIX-targeted lutetium therapy approved to treat ccRCC. Several other systemic radiotherapies are being investigated to treat ccRCC targeting CAIX, and potentially could be commercialized in the future.</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consider our most direct competitors to be companies developing CAIX-targeted systemic radiotherapies, including Debiopharm SA, Precision Molecular, Inc. Bayer AG and RayzeBio, Inc. Our competitors will also include companies developing other modalities to treat ccRCC.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and Opportunity for Kidney Cancer Imaging</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According to the Global Cancer Statistics 2022: GLOBOCAN survey, global incidence of kidney cancer was 434,840 in 2022. In the United States, the incidence of kidney cancer was 81,800 in 2022 according to the American Cancer Society. Approximately 80-90% of malignant kidney tumors are ccRCC. It is one of the subtypes with the worst prognosis and survival often depends on how early it is detected.</w:t>
      </w:r>
    </w:p>
    <w:p>
      <w:pPr>
        <w:spacing w:after="0" w:line="1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Kidney cancer is typically discovered incidentally and diagnosed using a number of modalities including CT scanning, MRI scanning, ultrasound, and biopsy.</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detection of renal masses is increasing due to widespread use of cross-sectional imaging. Many of these are small and represent a diagnostic challenge as current imaging techniques, including ultrasound and MRI, cannot reliably distinguish benign or malignant lesions from renal cell carcinoma, leading to invasive biopsy or partial nephrectomy (kidney removal) to confirm the diagnosis. These procedures are cumbersome and often lead to complications.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Currently, there are major unmet needs for the improvement in diagnosis of ccRCC from indeterminate renal masses as well as improving the staging of more advanced ccRCC through more accurate and specific imaging techniques. In the United States, we estimate that there are at least 113,000 patients per year with renal masses that could require a biopsy or nephrectomy. We believe that an additional 57,000 patients with ccRCC could benefit from more accurate staging or improved identification of recurrence using molecular imaging. This market is estimated to represent approximately US$750 million per year. We also believe that there may be patients that may benefit from more than one scan and from active surveillance.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Currently, there is no approved agent for CAIX imaging. We consider our most direct competitors to be companies developing ccRCC or CAIX-targeted imaging agents, including Debiopharm SA, Philogen S.p.A., ImaginAb, Inc. Precision Molecular, Inc. Astellas Pharma Inc. and Five Eleven Pharma. Our competitors will also include companies developing other modalities to image ccRCC and CAIX.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Therapy – TLX250</w:t>
      </w:r>
    </w:p>
    <w:p>
      <w:pPr>
        <w:spacing w:after="0" w:line="19"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TLX250 (</w:t>
      </w:r>
      <w:r>
        <w:rPr>
          <w:rFonts w:ascii="Times New Roman" w:cs="Times New Roman" w:eastAsia="Times New Roman" w:hAnsi="Times New Roman"/>
          <w:sz w:val="29"/>
          <w:szCs w:val="29"/>
          <w:color w:val="auto"/>
          <w:vertAlign w:val="superscript"/>
        </w:rPr>
        <w:t>177</w:t>
      </w:r>
      <w:r>
        <w:rPr>
          <w:rFonts w:ascii="Times New Roman" w:cs="Times New Roman" w:eastAsia="Times New Roman" w:hAnsi="Times New Roman"/>
          <w:sz w:val="18"/>
          <w:szCs w:val="18"/>
          <w:color w:val="auto"/>
        </w:rPr>
        <w:t>Lu-DOTA-girentuximab) is a rADC therapeutic product candidate for the treatment of kidney cancer. TLX250 is being evaluated for the treatment of patients with ccRCC in investigator-initiated Phase 2 trials in combination with checkpoint inhibitors (STARLITE-1 and STARLITE-2) and in a company-sponsored Phase 1 trial in combination with peposertib (M3814), a DNA-dependent protein kinase, or DNA-PK, inhibitor, in collaboration with Merck KGaA. The clinical trials of TLX250 are designed to evaluate the safety and effectiveness of treating CAIX-expressing tumors with targeted radiation and immunologically “prime” them, making them more susceptible to cancer immunotherapy. Our pre-clinical data in animal models indicates TLX250 could enhance the effect of immuno-oncology agents.</w:t>
      </w:r>
    </w:p>
    <w:p>
      <w:pPr>
        <w:spacing w:after="0" w:line="20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are using girentuximab to target CAIX as it is designed to have a high degree of selectivity and affinity for the target and is cleared from the body by the liver. The lack of kidney excretion is an advantage for patients with primary kidney disease. We believe the target profile and the properties of girentuximab make the ccRCC phenotype promising as the first therapeutic indication for TLX250.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attributes supporting development of TLX250 include:</w:t>
      </w:r>
    </w:p>
    <w:p>
      <w:pPr>
        <w:spacing w:after="0" w:line="225" w:lineRule="exact"/>
        <w:rPr>
          <w:sz w:val="20"/>
          <w:szCs w:val="20"/>
          <w:color w:val="auto"/>
        </w:rPr>
      </w:pPr>
    </w:p>
    <w:p>
      <w:pPr>
        <w:ind w:left="340" w:right="140" w:hanging="238"/>
        <w:spacing w:after="0" w:line="261" w:lineRule="auto"/>
        <w:tabs>
          <w:tab w:leader="none" w:pos="340" w:val="left"/>
        </w:tabs>
        <w:numPr>
          <w:ilvl w:val="0"/>
          <w:numId w:val="7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two clinical trials have investigated TLX250 in patients with advanced ccRCC in which TLX250 has been well tolerated and has shown the potential to stabilize progressive disease as a monotherapy;</w:t>
      </w:r>
    </w:p>
    <w:p>
      <w:pPr>
        <w:ind w:left="340" w:hanging="238"/>
        <w:spacing w:after="0"/>
        <w:tabs>
          <w:tab w:leader="none" w:pos="340" w:val="left"/>
        </w:tabs>
        <w:numPr>
          <w:ilvl w:val="0"/>
          <w:numId w:val="7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animal models indicated combination with checkpoint inhibitors can improve therapeutic response;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7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potential application in range of carcinomas that are known to over-express CAIX.</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the therapeutic potential of TLX250 may also extend into other cancers that significantly express CAIX, including certain VHL-induced cancers, ovarian cancer, triple-negative breast cancer and bladder cancer. We believe that our preliminary clinical data in triple-negative breast cancer and bladder cancer supports future development of TLX250 in these indications.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Therapy – TLX252</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our TLX252 program, we are exploring how girentuximab radiolabeled with the alpha-emitting isotope actinium-225 might complement the TLX250 (beta) program by addressing unmet need in radiation-resistant CAIX-positive disease. TLX252 has demonstrated pre-clinical proof-of-concept in several published preclinical imaging and efficacy animal studies, and comparable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characteristics (binding, pharmacokinetics and biodistribution) to a non-radiolabeled girentuximab, which we believe supports the initiation of initial dose-finding trials of TLX252 for the treatment of patients with advanced metastatic kidney cancer. We expect that data from our existing CAIX program TLX250-CDx diagnostic and TLX250 therapy will complement and inform the clinical and regulatory development strategy for TLX252.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Imaging – TLX250-CDx</w:t>
      </w:r>
    </w:p>
    <w:p>
      <w:pPr>
        <w:spacing w:after="0" w:line="19"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18"/>
          <w:szCs w:val="18"/>
          <w:color w:val="auto"/>
        </w:rPr>
        <w:t>TLX250-CDx (</w:t>
      </w:r>
      <w:r>
        <w:rPr>
          <w:rFonts w:ascii="Times New Roman" w:cs="Times New Roman" w:eastAsia="Times New Roman" w:hAnsi="Times New Roman"/>
          <w:sz w:val="29"/>
          <w:szCs w:val="29"/>
          <w:color w:val="auto"/>
          <w:vertAlign w:val="superscript"/>
        </w:rPr>
        <w:t>89</w:t>
      </w:r>
      <w:r>
        <w:rPr>
          <w:rFonts w:ascii="Times New Roman" w:cs="Times New Roman" w:eastAsia="Times New Roman" w:hAnsi="Times New Roman"/>
          <w:sz w:val="18"/>
          <w:szCs w:val="18"/>
          <w:color w:val="auto"/>
        </w:rPr>
        <w:t>Zr-DFO-girentuximab) is a PET diagnostic imaging agent for the characterization of renal masses as ccRCC. We evaluated TLX250-CDx in the recently completed Phase 3 ZIRCON trial in 300 patients, of which 284 were evaluable. The trial met all primary and secondary endpoints, including showing 86% sensitivity and 87% specificity and a mean positive predictive value of 93% for ccRCC across three independent readers. We believe this demonstrated the ability of TLX250-CDx to reliably detect the clear cell phenotype and provide an accurate, non-invasive method for diagnosing ccRCC. TLX250-CDx was granted breakthrough therapy designation from the FDA in 2020.</w:t>
      </w: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20"/>
        <w:spacing w:after="0" w:line="255" w:lineRule="auto"/>
        <w:rPr>
          <w:sz w:val="20"/>
          <w:szCs w:val="20"/>
          <w:color w:val="auto"/>
        </w:rPr>
      </w:pPr>
      <w:r>
        <w:rPr>
          <w:rFonts w:ascii="Times New Roman" w:cs="Times New Roman" w:eastAsia="Times New Roman" w:hAnsi="Times New Roman"/>
          <w:sz w:val="18"/>
          <w:szCs w:val="18"/>
          <w:color w:val="auto"/>
        </w:rPr>
        <w:t>We submitted a BLA for TLX250-CDx to the FDA for regulatory approval in December 2023. The BLA was granted on a rolling review process. We completed the BLA submission in May 2024, and in July 2024, the FDA declined to approve the BLA and issued an RTF determination. The denial was based on a filing concern related to demonstrating adequate sterility assurance during dispensing of TLX250-CDx in the radiopharmacy production environment. The FDA has not indicated any deficiencies in the clinical or nonclinical data relating to the safety or efficacy of TLX250-CDx. While we believe that TLX250-CDx has met all sterility requirements of product release, and have resubmitted the BLA there can be no assurance that we will obtain regulatory approval from the FDA. Subject to this regulatory approval, we aim to commercialize TLX250-CDx in 2025. If approved, TLX250-CDx would be the first targeted radiopharmaceutical imaging agent for kidney cancer to be approved in the United States.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attributes supporting development of TLX250-CDx include:</w:t>
      </w:r>
    </w:p>
    <w:p>
      <w:pPr>
        <w:spacing w:after="0" w:line="225" w:lineRule="exact"/>
        <w:rPr>
          <w:sz w:val="20"/>
          <w:szCs w:val="20"/>
          <w:color w:val="auto"/>
        </w:rPr>
      </w:pPr>
    </w:p>
    <w:p>
      <w:pPr>
        <w:ind w:left="340" w:hanging="238"/>
        <w:spacing w:after="0"/>
        <w:tabs>
          <w:tab w:leader="none" w:pos="340" w:val="left"/>
        </w:tabs>
        <w:numPr>
          <w:ilvl w:val="0"/>
          <w:numId w:val="7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high affinity was observed for CAIX, expressed in up to 94% of ccRCC and many hypoxic solid tumors, low expression in normal tissue;</w:t>
      </w:r>
    </w:p>
    <w:p>
      <w:pPr>
        <w:spacing w:after="0" w:line="27" w:lineRule="exact"/>
        <w:rPr>
          <w:rFonts w:ascii="Times New Roman" w:cs="Times New Roman" w:eastAsia="Times New Roman" w:hAnsi="Times New Roman"/>
          <w:sz w:val="18"/>
          <w:szCs w:val="18"/>
          <w:color w:val="0A2E94"/>
        </w:rPr>
      </w:pPr>
    </w:p>
    <w:p>
      <w:pPr>
        <w:ind w:left="340" w:right="280" w:hanging="238"/>
        <w:spacing w:after="0" w:line="250" w:lineRule="auto"/>
        <w:tabs>
          <w:tab w:leader="none" w:pos="340" w:val="left"/>
        </w:tabs>
        <w:numPr>
          <w:ilvl w:val="0"/>
          <w:numId w:val="7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positive results in Phase 3 ZIRCON trial including key secondary endpoints that demonstrated detection of ccRCC even in small renal masses (less than 4cm); and</w:t>
      </w:r>
    </w:p>
    <w:p>
      <w:pPr>
        <w:ind w:left="340" w:hanging="238"/>
        <w:spacing w:after="0"/>
        <w:tabs>
          <w:tab w:leader="none" w:pos="340" w:val="left"/>
        </w:tabs>
        <w:numPr>
          <w:ilvl w:val="0"/>
          <w:numId w:val="7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breakthrough therapy designation from the FDA granted in 2020.</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Breakthrough therapy designation may not lead to a faster development or regulatory review or approval process, and does not increase the likelihood that TLX250-CDx will receive marketing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and Data – TLX250</w:t>
      </w:r>
    </w:p>
    <w:p>
      <w:pPr>
        <w:spacing w:after="0" w:line="3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TLX250 is being evaluated in combination with checkpoint inhibitors for the treatment of patients with ccRCC in two separate investigator-initiated trials as part of the STARLITE program.</w:t>
      </w:r>
    </w:p>
    <w:p>
      <w:pPr>
        <w:spacing w:after="0" w:line="18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believe that tumor-targeted radiation stimulates remodeling of the tumor microenvironment and can kill immunosuppressive cells and stimulate T-cell recruitment to attack tumor cells. This immune re-programming may increase the therapeutic response to treatment with checkpoint inhibitors.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STARLITE-1 is a single arm Phase 1/2 investigator-initiated trial of TLX250 in combination with cabozantinib and nivolumab in treatment naïve patients with advanced ccRCC. The trial has a target enrollment of 100 patients. The trial is sponsored by the MD Anderson Cancer Center.</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STARLITE-2 is a Phase 2 investigator-initiated open-label trial of nivolumab combined with TLX250 in 29 patients with advanced ccRCC that have progressed on treatment with an immune checkpoint inhibitor. The objective of the trial is to determine the maximum tolerated dose and associated efficacy of the combination. The study is open for recruitment and dosing of the initial safety cohorts has completed, pending interim data. The trial is expected to proceed with an expansion cohort at the MTD before concluding. The trial is sponsored by the Memorial Sloan Kettering Cancer Center.</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evaluating TLX250 in combination with peposertib in collaboration with Merck KGaA in the Phase 1b STARSTRUCK trial. The trial is evaluating the combination in patients with solid tumors expressing CAIX that are relapsed or refractory to standard-of-care treatment options. The objective of the trial is to assess the safety and tolerability profile of TLX250 with peposertib in up to 85 patients. The first patient was dosed in the third quarter of 2023. We believe that the combination may provide an enhancement in potency through their synergistic action on cancer cells.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Targeted radiation effectively induces DNA damage in targeted cancer cells and peposertib may act to prevent the cell from repairing this damage, resulting in higher potency at lower doses. We are conducting the STARSTRUCK trial pursuant to a clinical trial collaboration and supply agreement with Merck KGaA pursuant to which Merck agreed to provide a supply of peposertib for the trial.</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Previous clinical trials of TLX250 have demonstrated its potential to stabilize progressive disease in metastatic ccRCC patients as a monotherapy, and that it is generally well tolerated. In a Phase 2 trial evaluating one dose of TLX250 in 14 patients with metastatic ccRCC, eight patients (57%) had stable disease and one patient (7%) experienced a partial response.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In a Phase 1 trial evaluating TLX250 in 23 patients with advanced ccRCC, TLX250 was observed to be well tolerated and to have the potential to stabilize previously progressive disease in metastatic ccRCC. The mean overall survival for all patients was 25.3 months and the mean PFS was 11.1 months.</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Phase 1 trial, TLX250 injections were well tolerated and no infusion-related or acute allergic reactions were observed. Hematologic toxicity was the most prominent toxicity and was dose limiting. At dose levels of 1,110 and 1480 MBq/m2 per treatment showed no dose limiting toxicity. The dose level per treatment was increased stepwise from 1,850 to 2,220 2,405MBq/m2 up to 2,590 MBq/m2. Moderate dose limited toxicity was observed at these higher dose levels and a final maximum tolerated dose of 2,405MBq/m2 was determined from this trial.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now preparing a Phase 2 trial to explore the combination of TLX250 with existing standards of care in advanced renal cell carcinoma.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Data – TLX250-CDx</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recently completed the pivotal Phase 3 ZIRCON trial evaluating TLX250-CDx in 300 patients. The trial met all primary and secondary endpoints, including showing 86% sensitivity and 87% specificity and a 93% PPV for ccRCC across three independent readers. We believe this trial demonstrated the ability of TLX250-CDx to reliably detect the clear cell phenotype and provide an accurate, non-invasive method for diagnosing ccRCC. Confidence intervals exceeded expectations in all three readers, showing evidence of high accuracy and consistency of interpretation.</w:t>
      </w:r>
    </w:p>
    <w:p>
      <w:pPr>
        <w:spacing w:after="0" w:line="18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data from the trial demonstrated the ability of TLX250-CDx to characterize renal masses as ccRCC, which could support improved clinical decision making and limiting the need for invasive procedures like biopsies and nephrectomies. A total of 300 patients were dosed with TLX250-CDx in the trial and 284 patients had a central histology reading and evaluable TLX250-CDx PET scan at central review.</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study also met the key secondary endpoint, achieving 85% sensitivity and 89% specificity in detecting ccRCC in tumors ≤4cm (T1a classification), currently a significant clinical challenge in the diagnosis of ccRCC. In very small renal lesions (≤2cm, a secondary endpoint), sensitivity was 84% for all three independent readers, with specificity ranging from 90.0% to 100%.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breakdown of the three independent reader scores, overall score and confidence intervals of the full analysis set.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120" w:type="dxa"/>
            <w:vAlign w:val="bottom"/>
            <w:tcBorders>
              <w:top w:val="single" w:sz="8" w:color="auto"/>
              <w:bottom w:val="single" w:sz="8" w:color="auto"/>
              <w:right w:val="single" w:sz="8" w:color="auto"/>
            </w:tcBorders>
          </w:tcPr>
          <w:p>
            <w:pPr>
              <w:spacing w:after="0"/>
              <w:rPr>
                <w:sz w:val="21"/>
                <w:szCs w:val="21"/>
                <w:color w:val="auto"/>
              </w:rPr>
            </w:pPr>
          </w:p>
        </w:tc>
        <w:tc>
          <w:tcPr>
            <w:tcW w:w="142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Reader 1</w:t>
            </w:r>
          </w:p>
        </w:tc>
        <w:tc>
          <w:tcPr>
            <w:tcW w:w="148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Reader 2</w:t>
            </w:r>
          </w:p>
        </w:tc>
        <w:tc>
          <w:tcPr>
            <w:tcW w:w="14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Reader 3</w:t>
            </w:r>
          </w:p>
        </w:tc>
        <w:tc>
          <w:tcPr>
            <w:tcW w:w="2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Overall % (95 % CI)</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Sensitivity, %</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4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85.50</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Lowest bounds, Wilson 95% CI</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78.24</w:t>
            </w:r>
          </w:p>
        </w:tc>
        <w:tc>
          <w:tcPr>
            <w:tcW w:w="1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(79.80; 89.80)</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Specificity, %</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14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87.00</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Lowest bounds, Wilson 95% CI</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1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(78.80; 92.30)</w:t>
            </w:r>
          </w:p>
        </w:tc>
        <w:tc>
          <w:tcPr>
            <w:tcW w:w="0" w:type="dxa"/>
            <w:vAlign w:val="bottom"/>
          </w:tcPr>
          <w:p>
            <w:pPr>
              <w:spacing w:after="0"/>
              <w:rPr>
                <w:sz w:val="1"/>
                <w:szCs w:val="1"/>
                <w:color w:val="auto"/>
              </w:rPr>
            </w:pPr>
          </w:p>
        </w:tc>
      </w:tr>
      <w:tr>
        <w:trPr>
          <w:trHeight w:val="238"/>
        </w:trPr>
        <w:tc>
          <w:tcPr>
            <w:tcW w:w="41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Positive predictive value, %</w:t>
            </w:r>
          </w:p>
        </w:tc>
        <w:tc>
          <w:tcPr>
            <w:tcW w:w="14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14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w:t>
            </w:r>
          </w:p>
        </w:tc>
        <w:tc>
          <w:tcPr>
            <w:tcW w:w="14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93.00</w:t>
            </w:r>
          </w:p>
        </w:tc>
        <w:tc>
          <w:tcPr>
            <w:tcW w:w="0" w:type="dxa"/>
            <w:vAlign w:val="bottom"/>
          </w:tcPr>
          <w:p>
            <w:pPr>
              <w:spacing w:after="0"/>
              <w:rPr>
                <w:sz w:val="1"/>
                <w:szCs w:val="1"/>
                <w:color w:val="auto"/>
              </w:rPr>
            </w:pPr>
          </w:p>
        </w:tc>
      </w:tr>
      <w:tr>
        <w:trPr>
          <w:trHeight w:val="194"/>
        </w:trPr>
        <w:tc>
          <w:tcPr>
            <w:tcW w:w="4120" w:type="dxa"/>
            <w:vAlign w:val="bottom"/>
            <w:tcBorders>
              <w:right w:val="single" w:sz="8" w:color="auto"/>
            </w:tcBorders>
            <w:shd w:val="clear" w:color="auto" w:fill="CCEEFF"/>
          </w:tcPr>
          <w:p>
            <w:pPr>
              <w:spacing w:after="0"/>
              <w:rPr>
                <w:sz w:val="16"/>
                <w:szCs w:val="16"/>
                <w:color w:val="auto"/>
              </w:rPr>
            </w:pPr>
          </w:p>
        </w:tc>
        <w:tc>
          <w:tcPr>
            <w:tcW w:w="1420" w:type="dxa"/>
            <w:vAlign w:val="bottom"/>
            <w:tcBorders>
              <w:right w:val="single" w:sz="8" w:color="auto"/>
            </w:tcBorders>
            <w:vMerge w:val="continue"/>
            <w:shd w:val="clear" w:color="auto" w:fill="CCEEFF"/>
          </w:tcPr>
          <w:p>
            <w:pPr>
              <w:spacing w:after="0"/>
              <w:rPr>
                <w:sz w:val="16"/>
                <w:szCs w:val="16"/>
                <w:color w:val="auto"/>
              </w:rPr>
            </w:pPr>
          </w:p>
        </w:tc>
        <w:tc>
          <w:tcPr>
            <w:tcW w:w="1480" w:type="dxa"/>
            <w:vAlign w:val="bottom"/>
            <w:tcBorders>
              <w:right w:val="single" w:sz="8" w:color="auto"/>
            </w:tcBorders>
            <w:vMerge w:val="continue"/>
            <w:shd w:val="clear" w:color="auto" w:fill="CCEEFF"/>
          </w:tcPr>
          <w:p>
            <w:pPr>
              <w:spacing w:after="0"/>
              <w:rPr>
                <w:sz w:val="16"/>
                <w:szCs w:val="16"/>
                <w:color w:val="auto"/>
              </w:rPr>
            </w:pPr>
          </w:p>
        </w:tc>
        <w:tc>
          <w:tcPr>
            <w:tcW w:w="1460" w:type="dxa"/>
            <w:vAlign w:val="bottom"/>
            <w:tcBorders>
              <w:right w:val="single" w:sz="8" w:color="auto"/>
            </w:tcBorders>
            <w:vMerge w:val="continue"/>
            <w:shd w:val="clear" w:color="auto" w:fill="CCEEFF"/>
          </w:tcPr>
          <w:p>
            <w:pPr>
              <w:spacing w:after="0"/>
              <w:rPr>
                <w:sz w:val="16"/>
                <w:szCs w:val="16"/>
                <w:color w:val="auto"/>
              </w:rPr>
            </w:pPr>
          </w:p>
        </w:tc>
        <w:tc>
          <w:tcPr>
            <w:tcW w:w="2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 96.00)</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auto"/>
              <w:right w:val="single" w:sz="8" w:color="auto"/>
            </w:tcBorders>
            <w:shd w:val="clear" w:color="auto" w:fill="CCEEFF"/>
          </w:tcPr>
          <w:p>
            <w:pPr>
              <w:spacing w:after="0"/>
              <w:rPr>
                <w:sz w:val="19"/>
                <w:szCs w:val="19"/>
                <w:color w:val="auto"/>
              </w:rPr>
            </w:pPr>
          </w:p>
        </w:tc>
        <w:tc>
          <w:tcPr>
            <w:tcW w:w="1420" w:type="dxa"/>
            <w:vAlign w:val="bottom"/>
            <w:tcBorders>
              <w:bottom w:val="single" w:sz="8" w:color="auto"/>
              <w:right w:val="single" w:sz="8" w:color="auto"/>
            </w:tcBorders>
            <w:shd w:val="clear" w:color="auto" w:fill="CCEEFF"/>
          </w:tcPr>
          <w:p>
            <w:pPr>
              <w:spacing w:after="0"/>
              <w:rPr>
                <w:sz w:val="19"/>
                <w:szCs w:val="19"/>
                <w:color w:val="auto"/>
              </w:rPr>
            </w:pPr>
          </w:p>
        </w:tc>
        <w:tc>
          <w:tcPr>
            <w:tcW w:w="148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spacing w:after="0"/>
              <w:rPr>
                <w:sz w:val="19"/>
                <w:szCs w:val="19"/>
                <w:color w:val="auto"/>
              </w:rPr>
            </w:pPr>
          </w:p>
        </w:tc>
        <w:tc>
          <w:tcPr>
            <w:tcW w:w="2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Negative predictive value, %</w:t>
            </w:r>
          </w:p>
        </w:tc>
        <w:tc>
          <w:tcPr>
            <w:tcW w:w="14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4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75.00</w:t>
            </w:r>
          </w:p>
        </w:tc>
        <w:tc>
          <w:tcPr>
            <w:tcW w:w="0" w:type="dxa"/>
            <w:vAlign w:val="bottom"/>
          </w:tcPr>
          <w:p>
            <w:pPr>
              <w:spacing w:after="0"/>
              <w:rPr>
                <w:sz w:val="1"/>
                <w:szCs w:val="1"/>
                <w:color w:val="auto"/>
              </w:rPr>
            </w:pPr>
          </w:p>
        </w:tc>
      </w:tr>
      <w:tr>
        <w:trPr>
          <w:trHeight w:val="194"/>
        </w:trPr>
        <w:tc>
          <w:tcPr>
            <w:tcW w:w="41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vMerge w:val="continue"/>
          </w:tcPr>
          <w:p>
            <w:pPr>
              <w:spacing w:after="0"/>
              <w:rPr>
                <w:sz w:val="16"/>
                <w:szCs w:val="16"/>
                <w:color w:val="auto"/>
              </w:rPr>
            </w:pPr>
          </w:p>
        </w:tc>
        <w:tc>
          <w:tcPr>
            <w:tcW w:w="148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2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(66.00; 82.00)</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2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1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Accuracy, %</w:t>
            </w:r>
          </w:p>
        </w:tc>
        <w:tc>
          <w:tcPr>
            <w:tcW w:w="14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14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4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86.00</w:t>
            </w:r>
          </w:p>
        </w:tc>
        <w:tc>
          <w:tcPr>
            <w:tcW w:w="0" w:type="dxa"/>
            <w:vAlign w:val="bottom"/>
          </w:tcPr>
          <w:p>
            <w:pPr>
              <w:spacing w:after="0"/>
              <w:rPr>
                <w:sz w:val="1"/>
                <w:szCs w:val="1"/>
                <w:color w:val="auto"/>
              </w:rPr>
            </w:pPr>
          </w:p>
        </w:tc>
      </w:tr>
      <w:tr>
        <w:trPr>
          <w:trHeight w:val="194"/>
        </w:trPr>
        <w:tc>
          <w:tcPr>
            <w:tcW w:w="4120" w:type="dxa"/>
            <w:vAlign w:val="bottom"/>
            <w:tcBorders>
              <w:right w:val="single" w:sz="8" w:color="auto"/>
            </w:tcBorders>
            <w:shd w:val="clear" w:color="auto" w:fill="CCEEFF"/>
          </w:tcPr>
          <w:p>
            <w:pPr>
              <w:spacing w:after="0"/>
              <w:rPr>
                <w:sz w:val="16"/>
                <w:szCs w:val="16"/>
                <w:color w:val="auto"/>
              </w:rPr>
            </w:pPr>
          </w:p>
        </w:tc>
        <w:tc>
          <w:tcPr>
            <w:tcW w:w="1420" w:type="dxa"/>
            <w:vAlign w:val="bottom"/>
            <w:tcBorders>
              <w:right w:val="single" w:sz="8" w:color="auto"/>
            </w:tcBorders>
            <w:vMerge w:val="continue"/>
            <w:shd w:val="clear" w:color="auto" w:fill="CCEEFF"/>
          </w:tcPr>
          <w:p>
            <w:pPr>
              <w:spacing w:after="0"/>
              <w:rPr>
                <w:sz w:val="16"/>
                <w:szCs w:val="16"/>
                <w:color w:val="auto"/>
              </w:rPr>
            </w:pPr>
          </w:p>
        </w:tc>
        <w:tc>
          <w:tcPr>
            <w:tcW w:w="1480" w:type="dxa"/>
            <w:vAlign w:val="bottom"/>
            <w:tcBorders>
              <w:right w:val="single" w:sz="8" w:color="auto"/>
            </w:tcBorders>
            <w:vMerge w:val="continue"/>
            <w:shd w:val="clear" w:color="auto" w:fill="CCEEFF"/>
          </w:tcPr>
          <w:p>
            <w:pPr>
              <w:spacing w:after="0"/>
              <w:rPr>
                <w:sz w:val="16"/>
                <w:szCs w:val="16"/>
                <w:color w:val="auto"/>
              </w:rPr>
            </w:pPr>
          </w:p>
        </w:tc>
        <w:tc>
          <w:tcPr>
            <w:tcW w:w="1460" w:type="dxa"/>
            <w:vAlign w:val="bottom"/>
            <w:tcBorders>
              <w:right w:val="single" w:sz="8" w:color="auto"/>
            </w:tcBorders>
            <w:vMerge w:val="continue"/>
            <w:shd w:val="clear" w:color="auto" w:fill="CCEEFF"/>
          </w:tcPr>
          <w:p>
            <w:pPr>
              <w:spacing w:after="0"/>
              <w:rPr>
                <w:sz w:val="16"/>
                <w:szCs w:val="16"/>
                <w:color w:val="auto"/>
              </w:rPr>
            </w:pPr>
          </w:p>
        </w:tc>
        <w:tc>
          <w:tcPr>
            <w:tcW w:w="2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 89.60)</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auto"/>
              <w:right w:val="single" w:sz="8" w:color="auto"/>
            </w:tcBorders>
            <w:shd w:val="clear" w:color="auto" w:fill="CCEEFF"/>
          </w:tcPr>
          <w:p>
            <w:pPr>
              <w:spacing w:after="0"/>
              <w:rPr>
                <w:sz w:val="19"/>
                <w:szCs w:val="19"/>
                <w:color w:val="auto"/>
              </w:rPr>
            </w:pPr>
          </w:p>
        </w:tc>
        <w:tc>
          <w:tcPr>
            <w:tcW w:w="1420" w:type="dxa"/>
            <w:vAlign w:val="bottom"/>
            <w:tcBorders>
              <w:bottom w:val="single" w:sz="8" w:color="auto"/>
              <w:right w:val="single" w:sz="8" w:color="auto"/>
            </w:tcBorders>
            <w:shd w:val="clear" w:color="auto" w:fill="CCEEFF"/>
          </w:tcPr>
          <w:p>
            <w:pPr>
              <w:spacing w:after="0"/>
              <w:rPr>
                <w:sz w:val="19"/>
                <w:szCs w:val="19"/>
                <w:color w:val="auto"/>
              </w:rPr>
            </w:pPr>
          </w:p>
        </w:tc>
        <w:tc>
          <w:tcPr>
            <w:tcW w:w="148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spacing w:after="0"/>
              <w:rPr>
                <w:sz w:val="19"/>
                <w:szCs w:val="19"/>
                <w:color w:val="auto"/>
              </w:rPr>
            </w:pPr>
          </w:p>
        </w:tc>
        <w:tc>
          <w:tcPr>
            <w:tcW w:w="2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70"/>
        </w:trPr>
        <w:tc>
          <w:tcPr>
            <w:tcW w:w="4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w w:val="75"/>
              </w:rPr>
              <w:t>112</w:t>
            </w:r>
          </w:p>
        </w:tc>
        <w:tc>
          <w:tcPr>
            <w:tcW w:w="1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majority of adverse events in the trial were post-surgical complications and not treatment related. A total of 261 treatment-emergent adverse events were reported in 122 of 300 patients (40.7%), of which 146 were mild, 50 were moderate and 49 were severe. Four of the treatment-emergent adverse events were life-threatening and one was fatal. 13 treatment-emergent adverse events were considered to be treatment related, of which, nine occurred before surgery and four occurred after surgery. No unexpected safety signals were observed and tolerability data were consistent with experience of girentuximab in previous therapeutic and imaging studies.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November 2024, we dosed the first patient in the Phase 3 ZIRCON-CP study of TLX250-CDx PET imaging of ccRCC in Chinese patients. The study, which will enroll up to 82 patients, is being conducted in collaboration with the Company’s strategic partner for the Greater China region, Grand Pharmaceutical Group Limited (Grand Pharma), to demonstrate that the diagnostic utility of TLX250-CDx is equivalent in Chinese and Western populations. The clinical data from ZIRCON-CP is intended to support future marketing authorization applications for this breakthrough technology in the region.</w:t>
      </w:r>
    </w:p>
    <w:p>
      <w:pPr>
        <w:spacing w:after="0" w:line="18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July 2023, we dosed the first patient in the Phase 2 STARBURST trial of TLX250-CDx exploring CAIX expression in patients with a diverse range of solid tumors for potential therapeutic and diagnostic applications. This trial, which aims to enroll 100 patients, may enable us to identify new therapeutic indications for TLX250 through the use of molecular imaging with TLX250-CDx.</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2024, we announced that we dosed the first patient in the Phase 2 CA-NINE trial, which is an investigator-initiated Phase 2 trial evaluating TLX250-CDx in patients with ccRCC after surgery. The trial plans to enroll 91 patients with intermediate-to-high risk ccRCC post-surgery and is designed to identify ccRCC where it has recurred, including metastatic disease, and may inform future label expansion for TLX250-CDx.</w:t>
      </w:r>
    </w:p>
    <w:p>
      <w:pPr>
        <w:spacing w:after="0" w:line="17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There are also several investigator-led trials of TLX250-CDx that have recently completed enrollment, including the Phase 1 ZiP-UP trial in patients with metastatic urothelial carcinoma or bladder cancer, the Phase 2 OPALESCENCE trial in patients with triple-negative breast cancer, and the Phase 1 PERTINENCE trial in patients with non-muscle invasive bladder cancer. The OPALESCENCE and PERTINENCE trials reported positive preliminary data during 2022 at the European Association of Nuclear Medicine Annual Congress, with early results suggesting theranostic potential in these difficult to treat diseases. In December 2023, additional data from the OPALESCENCE was reported from 12 patients with metastatic triple-negative breast cancer that demonstrated the potential for TLX250-CDx to detect lesions that may resist chemotherapy and have a more aggressive profile resulting from hypoxia.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Brain Cancer Programs and LAT1/LAT2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 to the Global Cancer Statistics 2022: GLOBOCAN survey, global incidence of brain and nervous system tumors was 321,731 in 2022. Gliomas make up approximately 30% of all brain and central nervous system tumors and 80% of all malignant brain tumors. In the United States, according to the CBTRUS Statistical Report, the incidence of glioma was 21,950 in 2022.</w:t>
      </w:r>
    </w:p>
    <w:p>
      <w:pPr>
        <w:spacing w:after="0" w:line="18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Glioblastoma is the most aggressive sub-type of glioma, representing 14,190 cases per year in the United States. It has a poor prognosis, primarily due to there being few effective treatment options. Glioblastoma has a median survival from initial diagnosis of 12-15 months.</w:t>
      </w:r>
    </w:p>
    <w:p>
      <w:pPr>
        <w:spacing w:after="0" w:line="16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mainstay of treatment for glioblastoma is surgical resection, followed by combined radiotherapy and chemotherapy. Despite such treatment, recurrence occurs in almost all patients. Our brain cancer program targets membrane transport proteins called LAT1 and LAT2, which are important targets in cancer development as they supply tumors with essential amino acids, promoting cell proliferation, angiogenesis and mediating drug and nutrient delivery across the blood-brain barrier. LAT1 and LAT2 are highly expressed in the blood-brain barrier and in various types of cancer, including glioblastoma.</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and Opportunity for Brain Cancer Treatment</w:t>
      </w:r>
    </w:p>
    <w:p>
      <w:pPr>
        <w:spacing w:after="0" w:line="31"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8"/>
          <w:szCs w:val="18"/>
          <w:color w:val="auto"/>
        </w:rPr>
        <w:t>While surgical resection plus radiation therapy are the mainstays of treatment, the vast majority of patients experience disease recurrence. Thus, there remains an important need for therapies targeted towards glioblastoma in patients in both the front-line treatment setting, as well as for patients experiencing disease recurrence following surgical intervention.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several systemic radiotherapies being evaluated in clinical trials for the treatment of glioblastoma. We consider our most direct competitors to be companies developing systemic radiotherapies for brain tumors, including ITM Isotope Technologies Munich SE, Molecular Targeting Technologies, Inc., EvaThera Theranostics, Novartis, RadioPharm Theranostics, Plus Therapeutics and Cellectar Biosciences, Inc. Our competitors will also include companies developing other modalities to treat brain cancer.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and Opportunity for Brain Cancer Imaging</w:t>
      </w:r>
    </w:p>
    <w:p>
      <w:pPr>
        <w:spacing w:after="0" w:line="3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We believe there are a number of opportunities to address unmet needs in the market for imaging of glioma. The first is improving the characterization of recurrence. Although MRI is the current standard of care for imaging of glioma patients, the accurate identification of recurrence remains an important unmet medical need. The U.S. market opportunity for imaging in this setting is estimated at 19,600 scans per year. This market is estimated to represent approximately US$95 million to US$140 million per year.</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second is improving adjuvant radiation treatment planning in glioblastoma patients, which is also an important unmet medical need. The U.S. market opportunity imaging in this setting is estimated to be 15,000 scans per year.</w:t>
      </w:r>
    </w:p>
    <w:p>
      <w:pPr>
        <w:spacing w:after="0" w:line="16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third opportunity is improved identification of recurrence in patients with brain metastases. The incidence of brain metastases in the United States is estimated to be between 98,000 and 170,000 cases per year. The U.S. market opportunity for imaging in this setting is estimated at over 60,000 scans per year. This aggregate market is estimated to represent approximately US$470 million to US$665 million per year.</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are several molecular imaging agents being evaluated in clinical trials for the imaging of glioma and brain metastases. We consider our most direct competitors to be companies developing imaging agents for brain tumors, including Novartis, Blue Earth Diagnostics, RadioPharm Theranostics, Curasight, Molecular Targeting Technologies, Inc., and EvaThera Theranostics. Our competitors could also include companies developing other modalities to image brain cancer.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Therapy – TLX101</w:t>
      </w:r>
    </w:p>
    <w:p>
      <w:pPr>
        <w:spacing w:after="0" w:line="19" w:lineRule="exact"/>
        <w:rPr>
          <w:sz w:val="20"/>
          <w:szCs w:val="20"/>
          <w:color w:val="auto"/>
        </w:rPr>
      </w:pPr>
    </w:p>
    <w:p>
      <w:pPr>
        <w:ind w:right="240"/>
        <w:spacing w:after="0" w:line="211" w:lineRule="auto"/>
        <w:rPr>
          <w:sz w:val="20"/>
          <w:szCs w:val="20"/>
          <w:color w:val="auto"/>
        </w:rPr>
      </w:pPr>
      <w:r>
        <w:rPr>
          <w:rFonts w:ascii="Times New Roman" w:cs="Times New Roman" w:eastAsia="Times New Roman" w:hAnsi="Times New Roman"/>
          <w:sz w:val="18"/>
          <w:szCs w:val="18"/>
          <w:color w:val="auto"/>
        </w:rPr>
        <w:t>TLX101 (</w:t>
      </w:r>
      <w:r>
        <w:rPr>
          <w:rFonts w:ascii="Times New Roman" w:cs="Times New Roman" w:eastAsia="Times New Roman" w:hAnsi="Times New Roman"/>
          <w:sz w:val="29"/>
          <w:szCs w:val="29"/>
          <w:color w:val="auto"/>
          <w:vertAlign w:val="superscript"/>
        </w:rPr>
        <w:t>131</w:t>
      </w:r>
      <w:r>
        <w:rPr>
          <w:rFonts w:ascii="Times New Roman" w:cs="Times New Roman" w:eastAsia="Times New Roman" w:hAnsi="Times New Roman"/>
          <w:sz w:val="18"/>
          <w:szCs w:val="18"/>
          <w:color w:val="auto"/>
        </w:rPr>
        <w:t>I-IPA) is our therapeutic product candidate for the treatment of patients with brain cancer that targets the LAT1 receptor. TLX101 is a novel approach that is readily able to pass through the blood-brain barrier, the normal protective barrier that prevents many potential drug candidates from entering the brain.</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currently evaluating TLX101 in front line and recurrent glioblastoma in the IPAX series of trials. TLX101 has been granted orphan drug designation in the United States and Europe for the treatment of glioma. Orphan drug designation may not lead to a faster development or regulatory review or approval process and does not increase the likelihood that TLX101 will receive marketing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attributes supporting development of TLX101 include:</w:t>
      </w:r>
    </w:p>
    <w:p>
      <w:pPr>
        <w:spacing w:after="0" w:line="225" w:lineRule="exact"/>
        <w:rPr>
          <w:sz w:val="20"/>
          <w:szCs w:val="20"/>
          <w:color w:val="auto"/>
        </w:rPr>
      </w:pPr>
    </w:p>
    <w:p>
      <w:pPr>
        <w:ind w:left="340" w:hanging="238"/>
        <w:spacing w:after="0"/>
        <w:tabs>
          <w:tab w:leader="none" w:pos="340" w:val="left"/>
        </w:tabs>
        <w:numPr>
          <w:ilvl w:val="0"/>
          <w:numId w:val="7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IPAX-1 trial demonstrated evidence of tumor responses in recurrent glioblastoma including some patients with prolonged disease stabilization;</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7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IPAX-2 Phase 1 trial is designed to extend TLX101 into the front-line setting, building upon experience in recurrent setting;</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7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evidence of rapid clearance of TLX101 from the brain observed in the IPAX-1 trial;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7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TLX101 has been granted orphan drug designation in the United States and Europe for the treatment of glioma.</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Therapy – TLX102</w:t>
      </w:r>
    </w:p>
    <w:p>
      <w:pPr>
        <w:spacing w:after="0" w:line="3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our TLX102 program, we are also exploring how phenylalanine, the same LAT1 targeting peptide used in TLX101, radiolabeled with an alpha-emitting isotope might deliver a different therapeutic profile. Astatine-211 is an alpha-emitting radioisotope with comparable halogen chemistry to Iodine-131 that can cross the blood-brain barrier. TLX102 has demonstrated pre-clinical proof-of-concept and we believe that TLX102 has the potential to have a favorable efficacy and safety profile in future human clinical trials in patients with glioblastoma and multiple myeloma. Astatine chemistry has been demonstrated, scaled up and automated, ready for clinical production. Due to comparable target binding and molecular structure, we expect that data from our existing LAT1 theranostic programs TLX101-CDx and TLX101 will complement and inform the clinical and regulatory development strategy for TLX102.</w:t>
      </w:r>
    </w:p>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2020, TLX102 was granted orphan drug designation from the FDA in the United States for the treatment of multiple myeloma. Orphan drug designation may not lead to a faster development or regulatory review or approval process in multiple myeloma or glioblastoma and does not increase the likelihood that TLX102 will receive marketing approval in either of these disease areas.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Imaging – TLX101-CDx</w:t>
      </w:r>
    </w:p>
    <w:p>
      <w:pPr>
        <w:spacing w:after="0" w:line="19" w:lineRule="exact"/>
        <w:rPr>
          <w:sz w:val="20"/>
          <w:szCs w:val="20"/>
          <w:color w:val="auto"/>
        </w:rPr>
      </w:pPr>
    </w:p>
    <w:p>
      <w:pPr>
        <w:ind w:right="160"/>
        <w:spacing w:after="0" w:line="203" w:lineRule="auto"/>
        <w:rPr>
          <w:sz w:val="20"/>
          <w:szCs w:val="20"/>
          <w:color w:val="auto"/>
        </w:rPr>
      </w:pPr>
      <w:r>
        <w:rPr>
          <w:rFonts w:ascii="Times New Roman" w:cs="Times New Roman" w:eastAsia="Times New Roman" w:hAnsi="Times New Roman"/>
          <w:sz w:val="18"/>
          <w:szCs w:val="18"/>
          <w:color w:val="auto"/>
        </w:rPr>
        <w:t>TLX101-CDx (</w:t>
      </w: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 xml:space="preserve">F-FET) is a radiolabeled amino acid PET agent for imaging of gliomas that is used in clinical research settings, including in our IPAX series of trials of TLX101, as a complementary diagnostic agent. Clinical data suggest that TLX101-CDx can facilitate the identification of recurrence of brain metastases. </w:t>
      </w: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F-FET is widely used in many jurisdictions and is recommended by the joint guidelines from the European Association of Nuclear Medicine, European Association of Neuro-Oncology, Society of Nuclear Medicine and Molecular Imaging, The European Society for Pediatric Oncology and The Response Assessment in Pediatric Neuro-Oncology for the characterization of recurrence in glioma patients.</w:t>
      </w:r>
    </w:p>
    <w:p>
      <w:pPr>
        <w:spacing w:after="0" w:line="20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October 2020, TLX101-CDx was granted orphan drug designation from the FDA in the United States for the imaging of glioma. Orphan drug designation may not lead to a faster development or regulatory review or approval process and does not increase the likelihood that TLX101-CDx will receive marketing approval.</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used TLX101-CDx to select patients and track disease response in our IPAX-1 Phase 1/2 clinical trial and the recently completed IPAX-Linz investigator-initiated trial, and are using TLX101-CDx in the Phase 1 IPAX-2 trial, which is actively dosing patients.</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August 2024, we submitted an NDA to the FDA for TLX101-CDx for the characterization of progressive or recurrent glioma in both adult and pediatric patients from treatment related changes through the 505(b)(2) NDA regulatory pathway. In October 2024, the FDA accepted the NDA, granted priority review and assigned a PDUFA goal date of April 26, 2025. There is no guarantee that the FDA will approve the NDA by the PDUFA goal date, if at all. TLX101-CDx was granted fast track designation by the FDA for this indication in April 2024. Fast track designation may not lead to a faster development or regulatory review or approval process, and does not increase the likelihood that TLX101-CDx will receive marketing approval. We also intend to conduct a label-expanding Phase 3 trial of TLX101-CDx for the imaging of patients with brain metastases from non-brain cancers, including lung and breast cancer.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attributes supporting development of TLX101-CDx include:</w:t>
      </w:r>
    </w:p>
    <w:p>
      <w:pPr>
        <w:spacing w:after="0" w:line="225" w:lineRule="exact"/>
        <w:rPr>
          <w:sz w:val="20"/>
          <w:szCs w:val="20"/>
          <w:color w:val="auto"/>
        </w:rPr>
      </w:pPr>
    </w:p>
    <w:p>
      <w:pPr>
        <w:ind w:left="340" w:hanging="238"/>
        <w:spacing w:after="0"/>
        <w:tabs>
          <w:tab w:leader="none" w:pos="340" w:val="left"/>
        </w:tabs>
        <w:numPr>
          <w:ilvl w:val="0"/>
          <w:numId w:val="7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potential tool for management of progression and treatment monitoring;</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7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orphan drug designation, potential to meet major unmet need;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7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widely used in Europe and recommended in the joint guidelines for imaging of gliomas.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and Data – TLX101</w:t>
      </w:r>
    </w:p>
    <w:p>
      <w:pPr>
        <w:spacing w:after="0" w:line="3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In 2022, we reported the final results from the IPAX-1 Phase 1/2 trial evaluating TLX101 therapy in combination with EBRT in patients with recurrent glioblastoma. The trial met its primary safety and tolerability objective.</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enrolled ten patients in the trial, nine of whom received the full dose of ~2GBq (2000 MBq) of TLX101, either in the form of a single administration or one of two triple-fractionated regimens. All dosing regimens were well tolerated. Dosimetric analysis demonstrates that radiation exposure to key organs is well within acceptable safety limits.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trial also demonstrated a median overall survival of 23 months from initial diagnosis, or 13 months from the initiation of treatment in the recurring setting. Of the nine patients who received conventional imaging, four (44%) exhibited stable disease at day 135 and two (22%) at day 180, determined by longitudinal imaging.</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most frequent treatment emergent adverse events, or TEAEs, were decreased lymphocyte count, fatigue, headache and hiccups, which occurred in three patients (30%), followed by decreased platelet count, diarrhea, cerebral oedema (swelling), and insomnia, which occurred in two patients (20%). Except for cerebral oedema (swelling), a typical side-effect of radiation to the brain, adverse events were of low grade, did not show any trends or patterns and were clinically manageable, with a significant proportion deemed unrelated to therapy.</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2023, we initiated a Phase 1 trial, IPAX-2, to further evaluate the safety of TLX101 in 15 patients as a front-line therapy for the treatment of glioblastoma in combination with EBRT and temozolomide in front-line in order to support initiation of a label-indicating Phase 2 trial are continuing to enroll patients in the trial.</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TLX101 is being investigated in the recurrent setting in the investigator-initiated IPAX-Linz Phase 2 trial, which has recently completed enrollment of patients with recurrent glioblastoma. Grand Pharma received approval by the Chinese National Medical Products Administration to initiate the IPAX-China trial of TLX101.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and Data – TLX101-CDx</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2024, we submitted an NDA to the FDA for regulatory approval of TLX101-CDx as a radioactive diagnostic agent indicated for use with PET imaging for the characterization of progressive or recurrent glioma from treatment related changes in both adult and pediatric patients through the 505(b)(2) NDA regulatory pathway.</w:t>
      </w:r>
    </w:p>
    <w:p>
      <w:pPr>
        <w:spacing w:after="0" w:line="186"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8"/>
          <w:szCs w:val="18"/>
          <w:color w:val="auto"/>
        </w:rPr>
        <w:t xml:space="preserve">The ability of TLX101-CDx trials to differentiate between various tumor subtypes and disease stages has been evaluated in 725 glioma patients across 14 comparative trials. Trial designs were both prospective and retrospective. Using various imaging technique specifications, studies compared TLX101-CDx with magnetic resonance imaging, 2 </w:t>
      </w: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 xml:space="preserve">F-fluoro-2-deoxy-D-glucose (FDG-PET), 3’ deoxy 3’ </w:t>
      </w: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F-fluorothymidine, and perfusion weighted MRI. These trials provided evidence that TLX101-CDx tended to result in higher sensitivity and specificity.</w:t>
      </w:r>
    </w:p>
    <w:p>
      <w:pPr>
        <w:spacing w:after="0" w:line="20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TLX101-CDx was also the subject of a published systemic review and meta-analysis covering 26 studies with a total of 1206 patient/lesions, that conclude that TLX101-CDx showed promise as a complementary modality to standard-of-care MRI for the management of brain malignancies.</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addition, we have exclusively licensed prospective, unpublished clinical trial data covering 127 patients, and we aim to confirm the findings of these trials with additional supportive data.</w:t>
      </w:r>
    </w:p>
    <w:p>
      <w:pPr>
        <w:spacing w:after="0" w:line="162" w:lineRule="exact"/>
        <w:rPr>
          <w:sz w:val="20"/>
          <w:szCs w:val="20"/>
          <w:color w:val="auto"/>
        </w:rPr>
      </w:pPr>
    </w:p>
    <w:p>
      <w:pPr>
        <w:ind w:left="20" w:right="140"/>
        <w:spacing w:after="0" w:line="282" w:lineRule="auto"/>
        <w:rPr>
          <w:sz w:val="20"/>
          <w:szCs w:val="20"/>
          <w:color w:val="auto"/>
        </w:rPr>
      </w:pPr>
      <w:r>
        <w:rPr>
          <w:rFonts w:ascii="Times New Roman" w:cs="Times New Roman" w:eastAsia="Times New Roman" w:hAnsi="Times New Roman"/>
          <w:sz w:val="18"/>
          <w:szCs w:val="18"/>
          <w:color w:val="auto"/>
        </w:rPr>
        <w:t>As part of our commitment to provide access to medicine, we are running an EAP in the U.S. to allow access to TLX101-CDx outside of a clinical trial to patients for whom there are no comparable or satisfactory alternative options.</w:t>
      </w:r>
    </w:p>
    <w:p>
      <w:pPr>
        <w:spacing w:after="0" w:line="152" w:lineRule="exact"/>
        <w:rPr>
          <w:sz w:val="20"/>
          <w:szCs w:val="20"/>
          <w:color w:val="auto"/>
        </w:rPr>
      </w:pPr>
    </w:p>
    <w:p>
      <w:pPr>
        <w:jc w:val="both"/>
        <w:ind w:right="580"/>
        <w:spacing w:after="0" w:line="213" w:lineRule="auto"/>
        <w:rPr>
          <w:sz w:val="20"/>
          <w:szCs w:val="20"/>
          <w:color w:val="auto"/>
        </w:rPr>
      </w:pPr>
      <w:r>
        <w:rPr>
          <w:rFonts w:ascii="Times New Roman" w:cs="Times New Roman" w:eastAsia="Times New Roman" w:hAnsi="Times New Roman"/>
          <w:sz w:val="17"/>
          <w:szCs w:val="17"/>
          <w:color w:val="auto"/>
        </w:rPr>
        <w:t xml:space="preserve">We are also exploring applications of TLX101-CDx imaging in radiation treatment planning through </w:t>
      </w:r>
      <w:r>
        <w:rPr>
          <w:rFonts w:ascii="Times New Roman" w:cs="Times New Roman" w:eastAsia="Times New Roman" w:hAnsi="Times New Roman"/>
          <w:sz w:val="28"/>
          <w:szCs w:val="28"/>
          <w:color w:val="auto"/>
          <w:vertAlign w:val="superscript"/>
        </w:rPr>
        <w:t>18</w:t>
      </w:r>
      <w:r>
        <w:rPr>
          <w:rFonts w:ascii="Times New Roman" w:cs="Times New Roman" w:eastAsia="Times New Roman" w:hAnsi="Times New Roman"/>
          <w:sz w:val="17"/>
          <w:szCs w:val="17"/>
          <w:color w:val="auto"/>
        </w:rPr>
        <w:t>F-FET in glioblastoma, or FIG, investigator-initiated trial. This trial aims to show that TLX101-CDx can help improve radiation treatment planning in a prospective, multi-center PET/CT trial.</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Musculoskeletal and Hematologic Cancer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 Tissue Sarcoma and PDGFRα</w:t>
      </w:r>
    </w:p>
    <w:p>
      <w:pPr>
        <w:spacing w:after="0" w:line="3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Soft tissue sarcoma is a rare, complex disease that encompasses a diverse group of relatively rare cancers, with more than 50 histological subtypes. According to the National Cancer Institute, there were an estimated 13,400 new cases and 5,140 deaths were caused by STS in 2023 in the United States. Standard treatment for soft tissue sarcoma includes surgery, radiation therapy and/or chemotherapy. For patients with advanced, unresectable, or metastatic disease, treatment typically involves chemotherapy with single agents (e.g., doxorubicin) or anthracycline-based combination regimens. However, the prognosis for these patients remains poor, with treated patients with metastatic disease having a median overall survival of around 12–18 months.</w:t>
      </w:r>
    </w:p>
    <w:p>
      <w:pPr>
        <w:spacing w:after="0" w:line="17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STS is usually diagnosed using imaging tests (CT, MRI and/or FDG-PET) and/or biopsy, depending on the tumor location. Conventional imaging and biopsy are also used for staging.</w:t>
      </w:r>
    </w:p>
    <w:p>
      <w:pPr>
        <w:spacing w:after="0" w:line="162"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There are several programs in clinical development for the treatment of STS, none of which are targeted systemic radiotherapies. We consider our most direct competitors to be companies developing systemic radiotherapies in the soft-tissue sarcoma space, including OncoTherapy Science, RadioPharm Theranostics and Cellectar Biosciences, Inc. Our competitors will also include companies developing other modalities to soft tissue sarcomas cancers.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Therapy – TLX300</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April 2022, we entered into a licensing agreement with Lilly that granted us exclusive worldwide rights to develop and commercialize radiolabeled forms of olaratumab as a targeting agent for radiopharmaceutical imaging and therapy of cancer. Lilly originally developed olaratumab a non-radiolabeled monoclonal antibody targeting PDGFRα, a protein expressed in multiple tumor types that is involved in fibrogenesis. Olaratumab has a well-established clinical and toxicology profile as a non-radiolabeled agent.</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Olaratumab was granted accelerated approval in the United States and conditional approval in the European Union based on Phase 2 trial data. Lilly began marketing olaratumab as Lartruvo in 2016.</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Sales of Lartruvo peaked at US$304.7 million in 2018. Olaratumab was voluntarily withdrawn from the market by Lilly following the failure of the Phase 3 ANNOUNCE clinical trial, in which olaratumab in combination with standard chemotherapy did not improve survival for patients compared to chemotherapy alone. We believe that the therapeutic limitations of Lartruvo can be overcome through the re-purposing of olaratumab as a radiopharmaceutical.</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initial development focus for radiolabeled olaratumab is on STS. We believe that the ability of olaratumab to target PDGFRα makes it a promising candidate for use as a radionuclide targeting agent and that the targeting of activated fibroblasts in the tumor micro-environment is a promising strategy to drive durable treatment responses in certain solid tumors.</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product candidates, TLX300 and TLX300-CDx employ antibody-directed targeted radiation for both therapeutic and diagnostic applications, respectively, against PDGFRα. We are developing TLX300 for the treatment of patients with advanced or metastatic soft tissue sarcoma, administered in combination with doxorubicin.</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completed pre-clinical studies evaluating TLX300 and have received ethics approval to initiate a clinical trial in Australia. We expect to initiate a Phase 1 proof-of-concept targeting and biodistribution trial in humans in the first quarter of 2025. We intend to develop the therapeutic application of TLX300 for the treatment of STS using an alpha-emitting isotope. We have not yet determined the specific alpha-emitting isotope that we will use in clinical trials of TLX300.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attributes supporting development of TLX300 include:</w:t>
      </w:r>
    </w:p>
    <w:p>
      <w:pPr>
        <w:spacing w:after="0" w:line="225" w:lineRule="exact"/>
        <w:rPr>
          <w:sz w:val="20"/>
          <w:szCs w:val="20"/>
          <w:color w:val="auto"/>
        </w:rPr>
      </w:pPr>
    </w:p>
    <w:p>
      <w:pPr>
        <w:ind w:left="340" w:hanging="238"/>
        <w:spacing w:after="0"/>
        <w:tabs>
          <w:tab w:leader="none" w:pos="340" w:val="left"/>
        </w:tabs>
        <w:numPr>
          <w:ilvl w:val="0"/>
          <w:numId w:val="7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well-established clinical and toxicology profile of olaratumab as a non-radiolabeled agent;</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7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submitted ethics application to commence a Phase 1 trial, to be conducted in Australia and New Zealand targeting and biodistribution in humans;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7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potential application in a range of other cancers (e.g., bone, brain, breast, lung, ovarian and prostate cancers).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preclinical study of a dose of 10 MBq of TLX300 in mice, we observed a significant increase in survival to tumor endpoint (P=0.0004, Log-Rank test).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Imaging – TLX300-CDx</w:t>
      </w:r>
    </w:p>
    <w:p>
      <w:pPr>
        <w:spacing w:after="0" w:line="19" w:lineRule="exact"/>
        <w:rPr>
          <w:sz w:val="20"/>
          <w:szCs w:val="20"/>
          <w:color w:val="auto"/>
        </w:rPr>
      </w:pPr>
    </w:p>
    <w:p>
      <w:pPr>
        <w:ind w:right="240"/>
        <w:spacing w:after="0" w:line="220" w:lineRule="auto"/>
        <w:rPr>
          <w:sz w:val="20"/>
          <w:szCs w:val="20"/>
          <w:color w:val="auto"/>
        </w:rPr>
      </w:pPr>
      <w:r>
        <w:rPr>
          <w:rFonts w:ascii="Times New Roman" w:cs="Times New Roman" w:eastAsia="Times New Roman" w:hAnsi="Times New Roman"/>
          <w:sz w:val="18"/>
          <w:szCs w:val="18"/>
          <w:color w:val="auto"/>
        </w:rPr>
        <w:t>TLX300-CDx (</w:t>
      </w:r>
      <w:r>
        <w:rPr>
          <w:rFonts w:ascii="Times New Roman" w:cs="Times New Roman" w:eastAsia="Times New Roman" w:hAnsi="Times New Roman"/>
          <w:sz w:val="29"/>
          <w:szCs w:val="29"/>
          <w:color w:val="auto"/>
          <w:vertAlign w:val="superscript"/>
        </w:rPr>
        <w:t>89</w:t>
      </w:r>
      <w:r>
        <w:rPr>
          <w:rFonts w:ascii="Times New Roman" w:cs="Times New Roman" w:eastAsia="Times New Roman" w:hAnsi="Times New Roman"/>
          <w:sz w:val="18"/>
          <w:szCs w:val="18"/>
          <w:color w:val="auto"/>
        </w:rPr>
        <w:t>Zr-DFOsq-olaratumab, including our proprietary DFO-squaramide chelator) is an investigational imaging agent that we are developing for use with TLX300 as a theranostic pair. DFO-squaramide (DfES) is our proprietary chelator technology, designed to optimize the bioconjugate manufacture, conjugate stability and serum stability for use with this isotope. If approved, TLX300-CDx would be the first diagnostic imaging agent to specifically detect the presence of PDGFRα in patients with STS.</w:t>
      </w:r>
    </w:p>
    <w:p>
      <w:pPr>
        <w:spacing w:after="0" w:line="199"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7"/>
          <w:szCs w:val="17"/>
          <w:color w:val="auto"/>
        </w:rPr>
        <w:t xml:space="preserve">Following the completion of pre-clinical studies, we have initiated a first-in-human Phase 1 proof-of-concept targeting and biodistribution trial in Australia using TLX300-CDx. This dose-finding study is assessing safety, tolerability, dosimetry, pharmacokinetics and imaging properties of </w:t>
      </w:r>
      <w:r>
        <w:rPr>
          <w:rFonts w:ascii="Times New Roman" w:cs="Times New Roman" w:eastAsia="Times New Roman" w:hAnsi="Times New Roman"/>
          <w:sz w:val="28"/>
          <w:szCs w:val="28"/>
          <w:color w:val="auto"/>
          <w:vertAlign w:val="superscript"/>
        </w:rPr>
        <w:t>89</w:t>
      </w:r>
      <w:r>
        <w:rPr>
          <w:rFonts w:ascii="Times New Roman" w:cs="Times New Roman" w:eastAsia="Times New Roman" w:hAnsi="Times New Roman"/>
          <w:sz w:val="17"/>
          <w:szCs w:val="17"/>
          <w:color w:val="auto"/>
        </w:rPr>
        <w:t>Zr-olaratumab in participants with PDGFRα-positive STS, prior to therapeutic studies. We have not yet determined the specific isotopes that we will use in therapeutic trials.</w:t>
      </w:r>
    </w:p>
    <w:p>
      <w:pPr>
        <w:spacing w:after="0" w:line="19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pre-clinical studies of radiolabeled-olaratumab have demonstrated that olaratumab can be bioconjugated with chelators and radiolabeled with imaging and therapeutic radionuclides. In a biodistribution study of TLX300-CDx in mice tumor targeting reached 55% of ID/g at 120 hours post-injection, accompanied by accumulation in main clearance organs as predicted based on radiolabeled antibody clearance. We believe results of these pre-clinical studies demonstrate the viability of radiolabeling olaratumab, high uptake of the imaging agent in tumors and subsequent clearance and demonstrated anti-tumor activity with the therapy agent. Animal or pre-clinical results should be interpreted with caution as they may not correlate to results in human clinical trials.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Hematologic Oncology and CD66</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HSCT is an important lifesaving treatment opportunity for various hematological malignancies and a variety of non-malignant conditions such as severe aplastic anemia, inherited bone marrow failure syndromes, sickle cell disease, transfusion-dependent thalassemia, inherited immune deficiency syndromes, and certain metabolic disorders.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Experimentally, HSCT has been used in severe refractory autoimmune diseases.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Conditions such as acute myeloid leukemia, multiple myeloma and systemic amyloid light chain amyloidosis may also benefit from more tolerable bone marrow conditioning regimens. The utilization of novel cell and gene therapies may increase by replacing toxic chemotherapy conditioning approaches with bone marrow conditioning.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program targets distinct members of CD66, a family of receptors expressed on specific types of immune or blood cells that serve as attractive biomarkers for novel experimental conditioning radiopharmaceuticals.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and Opportunity for Bone Marrow Conditioning Treatment</w:t>
      </w:r>
    </w:p>
    <w:p>
      <w:pPr>
        <w:spacing w:after="0" w:line="31"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According to the World Wide Network of Bone and Marrow Transplantation, there were approximately 90,000 first HSCT performed in 2019, of which 47% were allogeneic. According to the U.S. Health Resources and Services Administration, there were approximately 22,000 HSCT performed in the United States in 2020, 41% of which were allogeneic.</w:t>
      </w:r>
    </w:p>
    <w:p>
      <w:pPr>
        <w:spacing w:after="0" w:line="1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Prior to undergoing HSCT for the treatment of hematologic malignancies patients undergo a bone marrow conditioning treatment. Current standard of care typically requires bone marrow conditioning with multi-drug chemotherapy regimens. However, these regimens are highly toxic, and patients may not tolerate treatment. This creates an important unmet medical need for more tolerable bone marrow conditioning regimens.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are several systemic radiotherapies being evaluated in clinical trials as conditioning agents for HSCT. We consider our most direct competitors to be companies developing systemic radiotherapies in the hematology space, including Actinium Pharmaceuticals, Inc., Bayer AG, Sensei Biotherapeutics, Inc., ImaginAb, Inc. Acrotech Biopharma, Inc., Nordic Nanovector ASA, Orano Med, Samus Therapeutics, Inc., Cellectar Biosciences, Inc. and Jasper Therapeutics, Inc.</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and Opportunity for Imaging of Bone Marrow Infection (Osteomyelitis)</w:t>
      </w:r>
    </w:p>
    <w:p>
      <w:pPr>
        <w:spacing w:after="0" w:line="3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The incidence of osteomyelitis is estimated to be as high as 21.8 cases per 100,000 persons per year. The diagnosis of osteomyelitis is a challenge for diagnostic imaging and timely identification/localization of pathology can be of critical importance for appropriate management of patients.</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Imaging modalities used to diagnose osteomyelitis can include X-ray, bone scintigraphy, CT, and MRI. These are typically combined with imaging of white blood cells to distinguish infection, sterile inflammation, and other disorders. White blood cell imaging is typically performed using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separation and labelling of white blood cells, which requires preparation time and carries the inherent risk of contamination.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Therapy – TLX66</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TLX66 (</w:t>
      </w:r>
      <w:r>
        <w:rPr>
          <w:rFonts w:ascii="Times New Roman" w:cs="Times New Roman" w:eastAsia="Times New Roman" w:hAnsi="Times New Roman"/>
          <w:sz w:val="29"/>
          <w:szCs w:val="29"/>
          <w:color w:val="auto"/>
          <w:vertAlign w:val="superscript"/>
        </w:rPr>
        <w:t>90</w:t>
      </w:r>
      <w:r>
        <w:rPr>
          <w:rFonts w:ascii="Times New Roman" w:cs="Times New Roman" w:eastAsia="Times New Roman" w:hAnsi="Times New Roman"/>
          <w:sz w:val="18"/>
          <w:szCs w:val="18"/>
          <w:color w:val="auto"/>
        </w:rPr>
        <w:t>Y-besilesomab), is a product candidate for bone marrow conditioning for HSCT conditioning, a broad clinical indication.</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HSCT conditioning agent, TLX66, is being studied in acute myeloid leukemia, multiple myeloma and systemic amyloid light chain amyloidosis through investigator-initiated trials. Clinical data suggest TLX66 could be a well-tolerated (and therefore highly versatile) bone marrow conditioning agent which could be utilized as a single agent or in combination with either reduced or high intensity conditioning agents preceding both autologous or allogeneic HSCT. We plan to evaluate TLX66 in a Phase 2 clinical trial as a BMC agent in patients with acute myeloid leukemia who are not suitable for conventional BMC regimes. We expect to submit an IND to the FDA for this trial and to commence the trial in 2025.</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TLX66 was granted orphan drug designation status in the United States and Europe. Orphan drug designation may not lead to a faster development or regulatory review or approval process and does not increase the likelihood that TLX66 will receive marketing approval.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attributes supporting the development of TLX66 include:</w:t>
      </w:r>
    </w:p>
    <w:p>
      <w:pPr>
        <w:spacing w:after="0" w:line="225" w:lineRule="exact"/>
        <w:rPr>
          <w:sz w:val="20"/>
          <w:szCs w:val="20"/>
          <w:color w:val="auto"/>
        </w:rPr>
      </w:pPr>
    </w:p>
    <w:p>
      <w:pPr>
        <w:ind w:left="340" w:hanging="238"/>
        <w:spacing w:after="0"/>
        <w:tabs>
          <w:tab w:leader="none" w:pos="340" w:val="left"/>
        </w:tabs>
        <w:numPr>
          <w:ilvl w:val="0"/>
          <w:numId w:val="8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minimal uptake in non-hematopoietic organs such as liver, kidneys and gut;</w:t>
      </w:r>
    </w:p>
    <w:p>
      <w:pPr>
        <w:spacing w:after="0" w:line="27" w:lineRule="exact"/>
        <w:rPr>
          <w:rFonts w:ascii="Times New Roman" w:cs="Times New Roman" w:eastAsia="Times New Roman" w:hAnsi="Times New Roman"/>
          <w:sz w:val="18"/>
          <w:szCs w:val="18"/>
          <w:color w:val="0A2E94"/>
        </w:rPr>
      </w:pPr>
    </w:p>
    <w:p>
      <w:pPr>
        <w:ind w:left="340" w:right="660" w:hanging="238"/>
        <w:spacing w:after="0" w:line="250" w:lineRule="auto"/>
        <w:tabs>
          <w:tab w:leader="none" w:pos="340" w:val="left"/>
        </w:tabs>
        <w:numPr>
          <w:ilvl w:val="0"/>
          <w:numId w:val="8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approximately 100 patients treated in several Phase 1 and 2 investigator-initiated trials of TLX66 in different hematological diseases requiring autologous or allogeneic stem cell transplantation; and</w:t>
      </w:r>
    </w:p>
    <w:p>
      <w:pPr>
        <w:ind w:left="340" w:hanging="238"/>
        <w:spacing w:after="0"/>
        <w:tabs>
          <w:tab w:leader="none" w:pos="340" w:val="left"/>
        </w:tabs>
        <w:numPr>
          <w:ilvl w:val="0"/>
          <w:numId w:val="8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orphan drug designation granted in the United States and Europe for TLX66 for bone marrow conditioning.</w:t>
      </w:r>
    </w:p>
    <w:p>
      <w:pPr>
        <w:spacing w:after="0" w:line="20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Manufacturing TLX66 and TLX66-CDx utilizes a small amount of Triton X-100, which is a non-ionic surfactant, in the antibody manufacturing process. Triton X-100 is subject to a regulation in the European Union known as Registration, Evaluation, Authorisation and Restriction of Chemicals, or REACH. We are permitted to manufacture TLX66 for research and clinical development in the European Union pursuant to a self-certified exemption applicable to research and development activity. We would need to obtain authorization under REACH in order to use Triton X-100 for the future commercial manufacturing of TLX-66 or re-design the commercial manufacturing process for TLX66 such that Triton X-100 is not used. We are currently planning to re-design the commercial manufacturing process for TLX66 and potentially for TLX66-CDx. We believe that any improvements to the manufacturing process we may make could also result in an increase in productivity and a potential reduction in manufacturing costs. If we re-design the manufacturing process for TLX66, we may be required to conduct additional clinical trials of TLX66 or meet alternative regulatory standards.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Imaging – TLX66-CDx</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TLX66-CDx (</w:t>
      </w:r>
      <w:r>
        <w:rPr>
          <w:rFonts w:ascii="Times New Roman" w:cs="Times New Roman" w:eastAsia="Times New Roman" w:hAnsi="Times New Roman"/>
          <w:sz w:val="29"/>
          <w:szCs w:val="29"/>
          <w:color w:val="auto"/>
          <w:vertAlign w:val="superscript"/>
        </w:rPr>
        <w:t>99m</w:t>
      </w:r>
      <w:r>
        <w:rPr>
          <w:rFonts w:ascii="Times New Roman" w:cs="Times New Roman" w:eastAsia="Times New Roman" w:hAnsi="Times New Roman"/>
          <w:sz w:val="18"/>
          <w:szCs w:val="18"/>
          <w:color w:val="auto"/>
        </w:rPr>
        <w:t>Tc-besilesomab) is our imaging agent for osteomyelitis.</w:t>
      </w:r>
    </w:p>
    <w:p>
      <w:pPr>
        <w:spacing w:after="0" w:line="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TLX66-CDx has already been commercialized and is an internationally approved product (marketed as Scintimun) in approximately 30 countries. Scintimun was previously manufactured and distributed by Curium Pharma through an out-license from Telix via the acquisition of TheraPharm in 2020. Curium Pharma received marketing authorization for Scintimun in the European Union in 2010 for scintigraphic imaging, in conjunction with other modalities, for determining the location of inflammation/infection in peripheral bone in adults with suspected osteomyelitis. We were previously entitled to royalties from Curium Pharma. Following a strategic review of the asset, we have elected to bring sales and marketing in-house, with plans to significantly augment commercial distribution and indication expansion from 2025. TLX66-CDx has not received marketing approval in the United States. We are evaluating the feasibility of filing for a marketing authorization application in the United States where we retain the rights.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attributes supporting the use of TLX66-CDx include:</w:t>
      </w:r>
    </w:p>
    <w:p>
      <w:pPr>
        <w:spacing w:after="0" w:line="225" w:lineRule="exact"/>
        <w:rPr>
          <w:sz w:val="20"/>
          <w:szCs w:val="20"/>
          <w:color w:val="auto"/>
        </w:rPr>
      </w:pPr>
    </w:p>
    <w:p>
      <w:pPr>
        <w:ind w:left="340" w:hanging="238"/>
        <w:spacing w:after="0"/>
        <w:tabs>
          <w:tab w:leader="none" w:pos="340" w:val="left"/>
        </w:tabs>
        <w:numPr>
          <w:ilvl w:val="0"/>
          <w:numId w:val="8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EMA approval for imaging of peripheral osteomyelitis in 2010; and</w:t>
      </w:r>
    </w:p>
    <w:p>
      <w:pPr>
        <w:spacing w:after="0" w:line="27" w:lineRule="exact"/>
        <w:rPr>
          <w:rFonts w:ascii="Times New Roman" w:cs="Times New Roman" w:eastAsia="Times New Roman" w:hAnsi="Times New Roman"/>
          <w:sz w:val="18"/>
          <w:szCs w:val="18"/>
          <w:color w:val="0A2E94"/>
        </w:rPr>
      </w:pPr>
    </w:p>
    <w:p>
      <w:pPr>
        <w:ind w:left="340" w:right="80" w:hanging="238"/>
        <w:spacing w:after="0" w:line="260" w:lineRule="auto"/>
        <w:tabs>
          <w:tab w:leader="none" w:pos="340" w:val="left"/>
        </w:tabs>
        <w:numPr>
          <w:ilvl w:val="0"/>
          <w:numId w:val="8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Phase 3 trial showed that Scintimun imaging is accurate and well-tolerated in diagnosing infection of the peripheral skeleton and provides comparable information.</w:t>
      </w:r>
    </w:p>
    <w:p>
      <w:pPr>
        <w:spacing w:after="0" w:line="18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 xml:space="preserve">The approval of Scintimun was based on the results of a multicenter study performed in 22 European centers. This multinational, Phase 3 clinical study was undertaken to compare anti-granulocyte imaging using Scintimun with </w:t>
      </w:r>
      <w:r>
        <w:rPr>
          <w:rFonts w:ascii="Times New Roman" w:cs="Times New Roman" w:eastAsia="Times New Roman" w:hAnsi="Times New Roman"/>
          <w:sz w:val="29"/>
          <w:szCs w:val="29"/>
          <w:color w:val="auto"/>
          <w:vertAlign w:val="superscript"/>
        </w:rPr>
        <w:t>99m</w:t>
      </w:r>
      <w:r>
        <w:rPr>
          <w:rFonts w:ascii="Times New Roman" w:cs="Times New Roman" w:eastAsia="Times New Roman" w:hAnsi="Times New Roman"/>
          <w:sz w:val="18"/>
          <w:szCs w:val="18"/>
          <w:color w:val="auto"/>
        </w:rPr>
        <w:t xml:space="preserve">Tc-labelled white blood cells in patients with peripheral osteomyelitis. The results of this Phase 3 trial showed that Scintimun imaging is accurate and well-tolerated in diagnosing infection of the peripheral skeleton and provides comparable information to </w:t>
      </w:r>
      <w:r>
        <w:rPr>
          <w:rFonts w:ascii="Times New Roman" w:cs="Times New Roman" w:eastAsia="Times New Roman" w:hAnsi="Times New Roman"/>
          <w:sz w:val="29"/>
          <w:szCs w:val="29"/>
          <w:color w:val="auto"/>
          <w:vertAlign w:val="superscript"/>
        </w:rPr>
        <w:t>99m</w:t>
      </w:r>
      <w:r>
        <w:rPr>
          <w:rFonts w:ascii="Times New Roman" w:cs="Times New Roman" w:eastAsia="Times New Roman" w:hAnsi="Times New Roman"/>
          <w:sz w:val="18"/>
          <w:szCs w:val="18"/>
          <w:color w:val="auto"/>
        </w:rPr>
        <w:t>Tc-labelled white blood cells in patients with chronic osteomyelitis.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Data – TLX66</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TLX66 has been evaluated in 98 patients in several investigator-initiated-trials as a conditioning agent preceding HSCT in patients with a range of hematological malignancies, including a Phase 1 dose-escalation trial in 55 patients with hematological malignancies, a Phase 1 trial in nine patients with pediatric relapsed/refractory leukemia, a Phase 1/2a trial in nine patients with AL-amyloidosis and a Phase 2 trial in 25 patients with multiple myeloma. In these trials, there have not been significant toxicities and there have not been detectable non-hematological toxicities such as mucositis/colitis. In the pediatric population, TLX66 has been well tolerated with no serious toxicities.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 Phase 2 trial using TLX66 and HD-melphalan in 24 patients as a conditioning agent for multiple myeloma autologous HSCT, the complete response rate in the combination cohort (12 patients) was 50%, compared to 25% in the HD-melphalan control group (12 patients).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reported data from 30 patients out of 55 patients treated in a Phase 1 trial of TLX66, patients were given increasing doses of TLX66 followed by reduced intensity conditioning and HSCT. The overall survival rate was 73% ten years after the HSCT procedure with low toxicity for TLX66. There were no severe non-hematological adverse events detected and efficient myeloablation, both in bone marrow and peripheral blood (the anticipated therapeutic effect and prerequisite for both successful autologous and allogeneic HSCT), was observed.</w:t>
      </w:r>
    </w:p>
    <w:p>
      <w:pPr>
        <w:spacing w:after="0" w:line="180"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The Phase 1/2a trial evaluating TLX66 in nine patients with AL amyloidosis evaluated the safety and toxicity of TLX66 as a bone marrow conditioning agent prior to HSCT. All nine patients were successfully engrafted following bone marrow conditioning with TLX66 and autologous HSCT without any chemotherapy. TLX66 was well tolerated by all patients and had a very low toxicity profile when compared to chemotherapy-based conditioning regimes.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serious adverse events or transplant-related deaths.</w:t>
      </w:r>
    </w:p>
    <w:p>
      <w:pPr>
        <w:spacing w:after="0" w:line="22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plan to conduct further development of TLX66 as a bone marrow conditioning agent in high-risk acute myeloid leukemia patients in complete remission with minimal residual disease in combo with reduced intensity conditioning preceding allogenic HSCT.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Bone Metastases and Pain Palliation</w:t>
      </w:r>
    </w:p>
    <w:p>
      <w:pPr>
        <w:spacing w:after="0" w:line="19"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8"/>
          <w:szCs w:val="18"/>
          <w:color w:val="auto"/>
        </w:rPr>
        <w:t>TLX090 (</w:t>
      </w:r>
      <w:r>
        <w:rPr>
          <w:rFonts w:ascii="Times New Roman" w:cs="Times New Roman" w:eastAsia="Times New Roman" w:hAnsi="Times New Roman"/>
          <w:sz w:val="29"/>
          <w:szCs w:val="29"/>
          <w:color w:val="auto"/>
          <w:vertAlign w:val="superscript"/>
        </w:rPr>
        <w:t>153</w:t>
      </w:r>
      <w:r>
        <w:rPr>
          <w:rFonts w:ascii="Times New Roman" w:cs="Times New Roman" w:eastAsia="Times New Roman" w:hAnsi="Times New Roman"/>
          <w:sz w:val="18"/>
          <w:szCs w:val="18"/>
          <w:color w:val="auto"/>
        </w:rPr>
        <w:t>Sm-DOTMP) is a novel kit-based bone-seeking targeted radiopharmaceutical product candidate that uses a next generation chelating agent to deliver a proprietary formulation of Samarium-153 radioisotope. It is a combination of patented, lower specific activity form of Samarium-153, a beta-emitting radioisotope with a 46-hour half-life, and the chelating agent DOTMP (1,4,7,10-tetraazacyclododecane-1,4,7,10-tetramethylene-phosphonate), which selectively targets sites of high bone mineral turnover, a known characteristic of bone metastases, and minimizes off-target migration.</w:t>
      </w:r>
    </w:p>
    <w:p>
      <w:pPr>
        <w:spacing w:after="0" w:line="19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believe that TLX090 may be administered as a single dose, multiple doses and higher dose regimens for pain management of bone metastases and osteosarcoma therapy, including in pediatric patients. We believe that TLX090 is highly aligned with our existing therapeutic focus areas of prostate cancer, glioma and sarcoma.</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August 2021, the FDA cleared the IND application to commence Phase 1, open-label, dose escalating study for TLX090 as a treatment for cancer that has metastasized to the bone from the lung, breast, prostate and other areas. Patients received an imaging dose of 0.5 mCi/kg on day 1 and then a therapeutic dose on day 8. A total of five patients were enrolled and treated in the first two cohorts (three patients at 0.5 mCi and two patients at 1 mCi/kg). SPECT/CT scans of these patients showed that TLX090 was highly targeted to bone and had preferential uptake in bone tumors. There was no evidence of soft tissue activity and investigators observed rapid elimination via the kidney and bladder. Complete blood count and comprehensive metabolic panel blood testing data indicated no toxicities or drug-related adverse events; some mild and transient drop in white blood cell counts that recovered after day 38 and no clinically significant changes in liver and kidney function. No transfusions or stem cell recovery procedures were necessary. Visual analogue scale pain scores taken at baseline and then weekly after dosing suggest fast-acting, long-lasting pain relief, improved mobility and improved quality of life. We believe that pain relief is of is evidence that TLX090 may not have similar risks or the potential side effects of opiate pain medications, and may offer a viable alternative treatment option for patients with bone metastases.</w:t>
      </w:r>
    </w:p>
    <w:p>
      <w:pPr>
        <w:spacing w:after="0" w:line="19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believe that TLX090 has the potential to deliver significant improvements to existing bone-seeking agents in the treatment and management of late-stage metastatic disease. TLX090 may enable the pain management of prostate cancer bone metastases, where there remains a significant unmet medical need particularly after progression from other forms of radionuclide and radiation therapy. We also believe that TLX090 may benefit patients with metastatic lung and breast cancer, where many patients develop brain and bone metastases, and disease management often focuses on quality-of-life palliative care.</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TLX090 has also been granted orphan drug and rare pediatric disease designations by the FDA for the treatment of osteosarcoma. The rare pediatric disease designation may enable TLX090 to be brought to market more rapidly through regulatory incentives, including eligibility for a pediatric rare disease priority review voucher that may be applied to this or other programs. The orphan drug designation and the rare pediatric disease designation do not increase the likelihood of marketing approval.</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MedTech</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established a MedTech Division to create technologies designed to harness the power of targeted radiation across the entire patient journey from diagnosis to surgical intervention and therapy. We anticipate applying this first in urology, for prostate and kidney cancer, and then across the breadth of indications we are developing.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Radio-Guided Surgery (RGS)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Bringing molecular imaging into the operating theater is a key part of our portfolio strategy for urologic oncology.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November 2023 we acquired the SENSEI radio-guided surgery business from Lightpoint Medical Ltd, or Lightpoint. SENSEI is a miniature gamma probe device used to detect radiation in patients and guide surgery. The probe is inserted into a surgical port and can then be controlled by the clinician during the procedure. When used with targeted imaging agents, SENSEI may enable the intraoperative detection of cancer in real time, supporting greater precision in the removal of tumors.</w:t>
      </w:r>
    </w:p>
    <w:p>
      <w:pPr>
        <w:spacing w:after="0" w:line="18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utility of SENSEI has been demonstrated in several studies. These include a prospective multicenter trial assessing the safety and performance of the SENSEI probe for prostate cancer sentinel lymph node biopsy. The primary objective was the sentinel lymph node dissection rate, or SeLND rate, with a 100% detection rate achieved by the drop-in probe and no adverse events linked to the probe. The study concluded that the SENSEI probe meets performance and safety requirements for sentinel lymph node biopsy in prostate cancer, offering improved maneuverability and sentinel lymph node detection compared to the conventional rigid laparoscopic gamma probe. Another study covering ten patients concluded that using the probe is also safe and feasible for Sentinel Lymph Node detection in early-stage cervical cancer. We are evaluating the regulatory pathway for marketing SENSEI in the United States.</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we made a strategic investment of A$9.5 million into Mauna Kea Technologies, or Mauna Kea, a leading medical device company pioneering the development of real-time intraoperative visualization of cancer tissue during surgery. This investment is an expansion of our existing IRiS (Imaging and Robotics in Surgery) Alliance with Mauna Kea that we established to develop new hybrid pharmaceutical-device products through the combination of our cancer-targeting agents with Cellvizio, Mauna Kea’s confocal surgical laser endomicroscopy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cellular imaging platform.</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this technology is complementary to our existing portfolio. When used pre-operatively, our radiopharmaceutical imaging agents, such as Illuccix or TLX250-CDx, potentially enable improved surgical planning to determine the location and extent of disease. SENSEI, a radio-guided surgical probe works in conjunction with suitable cancer-seeking radiotracer agents to enable the intra-operative detection of cancer during a surgical intervention to help accurately answer the question, “where is the cancer?” In a complementary fashion, Cellvizio platform enables localized tissue visualization through endomicroscopic fluorescence detection to potentially define and confirm surgical margins in real-time.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 (AI)</w:t>
      </w:r>
    </w:p>
    <w:p>
      <w:pPr>
        <w:spacing w:after="0" w:line="31"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8"/>
          <w:szCs w:val="18"/>
          <w:color w:val="auto"/>
        </w:rPr>
        <w:t>Radio imaging using targeted radiation relies heavily on digital data processing and input from highly trained technicians and radiologists to correctly interpret the data. We believe that AI technology can recognize complex patterns in large datasets and conduct predictive analysis, with potential to transform imaging analysis and improve the accuracy of decision making for clinicians.</w:t>
      </w:r>
    </w:p>
    <w:p>
      <w:pPr>
        <w:spacing w:after="0" w:line="186"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During 2022, we announced a partnership with Invicro LLC to develop an AI platform that we refer to as TelixAI. This platform will initially focus on prostate cancer and we intend to eventually apply it to all of our imaging products. The goal of the platform is to increase the efficiency and reproducibility of imaging assessments by automatically separating healthy versus abnormal tracer uptake and then classifying lesions as either soft tissue or bone lesions.</w:t>
      </w:r>
    </w:p>
    <w:p>
      <w:pPr>
        <w:spacing w:after="0" w:line="1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2023, we acquired Dedicaid GmbH and its clinical decision support software, or CDSS, AI platform capable of rapidly generating indication specific CDSS applications from available datasets, for use with PET and other imaging modalities. Each CDSS application is trained to predict outcomes such as the severity of disease, risk to the patient and/or inform treatment decisions. Dedicaid employs an automated machine learning engine. We believe that this platform is differentiated from commercially-available AI solutions currently used in PSMA-PET imaging, which are limited to supporting clinicians in the interpretation and reading of images – without a prediction capability. This platform is designed to reduce the time, cost and level of expertise required to build, test and validate new CDSS applications, facilitating a streamlined development and regulatory pathway for each new application. We are conducting final validation of the Dedicaid platform.</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Dedicaid developed the technology with proof of concept on the machine-learning methodology demonstrated for prostate, breast and lung cancer applications published in leading peer-review journals. We expect that our acquisition of this AI platform will provide us with the capability to quickly and easily generate algorithms from clinical data and medical images, add predictive capabilities alongside the imaging analysis module and will be used to accelerate the development of TelixAI applications across the pipeline. The Dedicaid acquisition also included a lead medical device tool that is designed to interpret the risk of prostate cancer advancement from a PSMA-PET scan image by correlating it to a well-known histopathology indicator (the Gleason Grade). A second AI asset supporting Illuccix, being developed in partnership with Invicro LLC, is designed to automate the identification and classification of prostate cancer lesions from PSMA-PET scans to support greater efficiency and standardization in the imaging workflow.</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October 2024, we also announced a partnership with Subtle Medical to commercialize an artificial intelligence (AI)-powered positron emission tomography (PET) imaging product (SubtlePET™) with Illuccix. SubtlePET is FDA-cleared to enhance the efficiency and effectiveness of imaging procedures, including those procedures that use Illuccix. Our partnership with Subtle Medical, which covers North America and the European Union (EU, excluding France and French speaking Belgium), launched in the United States (U.S.) with Illuccix, with the aim to expand to other Telix PET-tracers, subject to regulatory approval.</w:t>
      </w:r>
    </w:p>
    <w:p>
      <w:pPr>
        <w:spacing w:after="0" w:line="18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focus for our AI platform is to develop AI-powered solutions that support our product candidates and enable them for use by the nuclear medicine community as approved medical devices. We aim to use AI and the Dedicaid platform across our development pipeline by utilizing clinical imaging and outcome data as they become available and to develop and validate medical device applications supporting approved products. The acquisitions of both Dedicaid and Lightpoint’s radio-guided surgery business provide a founding MedTech capability that we believe will enable Telix to generate AI and software applications that are complementary to our radiopharmaceutical pipeline.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Telix Manufacturing Solutions (TMS)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focused on enhancing our existing global manufacturing and supply chain with a balance of external and in-house capabilities, securing a robust and innovative manufacturing infrastructure and supply chain to serve our patients. Manufacturing and supply chain supporting our portfolio broadly cover the following areas: radioisotopes, radiochemistry, biologics, small molecules, fill/finish, packaging and labeling, and storage and distribution.</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Since 2022, we have made significant progress with the buildout of our radioisotope manufacturing facility in Brussels South. We have been granted an updated radiation license by the Belgian Federal Agency for Nuclear Control, enabling site activation subject to the regulatory inspections and approvals.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approximately 30,000 square foot radioisotope manufacturing facility is one of Europe’s largest radiopharmaceutical production facilities. The site will enable improved access to radiopharmaceuticals for patients across the EMEA region and the world as a primary GMP-capable manufacturing site for our clinical and commercial products. The site also has extensive R&amp;D capabilities, with a focus on alpha-emitting isotopes. We believe the proximity of an alpha radiopharmaceutical laboratory to a production GMP environment is a differentiated capability to our competition. We expect the site to evolve and develop as a hub for strategic collaborations via R&amp;D facilities and manufacturing line designated for university and SME partners.</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aim to have a degree of vertical integration in our three operating regions. In line with this goal, in 2022 we acquired Optimal Tracers, a California-based company that provides radiochemistry process development services and research tracers for use in clinical trials. The acquisition of Optimal Tracers expanded our translational radiochemistry capability and establishes a U.S.-based laboratory and production footprint for clinical trial doses.</w:t>
      </w:r>
    </w:p>
    <w:p>
      <w:pPr>
        <w:spacing w:after="0" w:line="176" w:lineRule="exact"/>
        <w:rPr>
          <w:sz w:val="20"/>
          <w:szCs w:val="20"/>
          <w:color w:val="auto"/>
        </w:rPr>
      </w:pPr>
    </w:p>
    <w:p>
      <w:pPr>
        <w:ind w:left="20" w:right="100"/>
        <w:spacing w:after="0" w:line="282" w:lineRule="auto"/>
        <w:rPr>
          <w:sz w:val="20"/>
          <w:szCs w:val="20"/>
          <w:color w:val="auto"/>
        </w:rPr>
      </w:pPr>
      <w:r>
        <w:rPr>
          <w:rFonts w:ascii="Times New Roman" w:cs="Times New Roman" w:eastAsia="Times New Roman" w:hAnsi="Times New Roman"/>
          <w:sz w:val="18"/>
          <w:szCs w:val="18"/>
          <w:color w:val="auto"/>
        </w:rPr>
        <w:t>In April 2024, we acquired IsoTherapeutics Group, LLC, or IsoTherapeutics, a specialty radiopharmaceutical development and bioconjugation firm, based in Texas. We expect that the acquisition will further enhance our internal drug development capabilities.</w:t>
      </w:r>
    </w:p>
    <w:p>
      <w:pPr>
        <w:spacing w:after="0" w:line="162" w:lineRule="exact"/>
        <w:rPr>
          <w:sz w:val="20"/>
          <w:szCs w:val="20"/>
          <w:color w:val="auto"/>
        </w:rPr>
      </w:pPr>
    </w:p>
    <w:p>
      <w:pPr>
        <w:ind w:left="20" w:right="100"/>
        <w:spacing w:after="0" w:line="261" w:lineRule="auto"/>
        <w:rPr>
          <w:sz w:val="20"/>
          <w:szCs w:val="20"/>
          <w:color w:val="auto"/>
        </w:rPr>
      </w:pPr>
      <w:r>
        <w:rPr>
          <w:rFonts w:ascii="Times New Roman" w:cs="Times New Roman" w:eastAsia="Times New Roman" w:hAnsi="Times New Roman"/>
          <w:sz w:val="18"/>
          <w:szCs w:val="18"/>
          <w:color w:val="auto"/>
        </w:rPr>
        <w:t>In April 2024, we also acquired ARTMS Inc., or ARTMS, a radioisotope production technology company based in Canada, and its advanced cyclotron-based isotope production platform, manufacturing plant and stockpile of ultra-pure rare metals required for consumable target production. We expect that the acquisition will further enhance the vertical integration of our supply chain and manufacturing by providing a greater level of control and security over each of our diagnostic isotopes.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January 2025, we acquired RLS (USA), Inc., America’s only Joint Commission-accredited radiopharmacy network distributing PET, SPECT and therapeutic radiopharmaceuticals. The RLS acquisition augments our existing distribution network for last-mile delivery and provides expansionary space to build out a radiometal production network to meet future demand for radiopharmaceuticals.</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biologics, small molecule, fill/finish and packaging manufacturing and supply chain are accomplished through relationships with external contract manufacturing organizations, or CMOs, and vendors. We have agreements with late stage/commercial organizations, including ABX-CRO, Grand Rapids Aseptic Manufacturing, PCI, UPS, Patheon Pharma Services, Goodwin Biotechnology Inc, and 3P Biopharmaceuticals. For early-stage manufacturing and supply chain, we are working closely with companies such as GenScrip ProBio to establish platform capabilities in cell line development and antibody production, DiverChim CDMO, Curia Global, and Abzena Holdings (US) LLC. We are also pursuing the addition of in-house capabilities where appropriate through vertical integration.</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7"/>
          <w:szCs w:val="17"/>
          <w:color w:val="auto"/>
        </w:rPr>
        <w:t xml:space="preserve">With respect to producing radiolabeled drug product, we aim to continue to deepen our relationship with key manufacturing networks in the United States: Pharmalogic for </w:t>
      </w:r>
      <w:r>
        <w:rPr>
          <w:rFonts w:ascii="Times New Roman" w:cs="Times New Roman" w:eastAsia="Times New Roman" w:hAnsi="Times New Roman"/>
          <w:sz w:val="28"/>
          <w:szCs w:val="28"/>
          <w:color w:val="auto"/>
          <w:vertAlign w:val="superscript"/>
        </w:rPr>
        <w:t>18</w:t>
      </w:r>
      <w:r>
        <w:rPr>
          <w:rFonts w:ascii="Times New Roman" w:cs="Times New Roman" w:eastAsia="Times New Roman" w:hAnsi="Times New Roman"/>
          <w:sz w:val="17"/>
          <w:szCs w:val="17"/>
          <w:color w:val="auto"/>
        </w:rPr>
        <w:t xml:space="preserve">F and </w:t>
      </w:r>
      <w:r>
        <w:rPr>
          <w:rFonts w:ascii="Times New Roman" w:cs="Times New Roman" w:eastAsia="Times New Roman" w:hAnsi="Times New Roman"/>
          <w:sz w:val="28"/>
          <w:szCs w:val="28"/>
          <w:color w:val="auto"/>
          <w:vertAlign w:val="superscript"/>
        </w:rPr>
        <w:t>89</w:t>
      </w:r>
      <w:r>
        <w:rPr>
          <w:rFonts w:ascii="Times New Roman" w:cs="Times New Roman" w:eastAsia="Times New Roman" w:hAnsi="Times New Roman"/>
          <w:sz w:val="17"/>
          <w:szCs w:val="17"/>
          <w:color w:val="auto"/>
        </w:rPr>
        <w:t xml:space="preserve">Zr products, Cardinal Health for </w:t>
      </w:r>
      <w:r>
        <w:rPr>
          <w:rFonts w:ascii="Times New Roman" w:cs="Times New Roman" w:eastAsia="Times New Roman" w:hAnsi="Times New Roman"/>
          <w:sz w:val="28"/>
          <w:szCs w:val="28"/>
          <w:color w:val="auto"/>
          <w:vertAlign w:val="superscript"/>
        </w:rPr>
        <w:t>68</w:t>
      </w:r>
      <w:r>
        <w:rPr>
          <w:rFonts w:ascii="Times New Roman" w:cs="Times New Roman" w:eastAsia="Times New Roman" w:hAnsi="Times New Roman"/>
          <w:sz w:val="17"/>
          <w:szCs w:val="17"/>
          <w:color w:val="auto"/>
        </w:rPr>
        <w:t xml:space="preserve">Ga and </w:t>
      </w:r>
      <w:r>
        <w:rPr>
          <w:rFonts w:ascii="Times New Roman" w:cs="Times New Roman" w:eastAsia="Times New Roman" w:hAnsi="Times New Roman"/>
          <w:sz w:val="28"/>
          <w:szCs w:val="28"/>
          <w:color w:val="auto"/>
          <w:vertAlign w:val="superscript"/>
        </w:rPr>
        <w:t>89</w:t>
      </w:r>
      <w:r>
        <w:rPr>
          <w:rFonts w:ascii="Times New Roman" w:cs="Times New Roman" w:eastAsia="Times New Roman" w:hAnsi="Times New Roman"/>
          <w:sz w:val="17"/>
          <w:szCs w:val="17"/>
          <w:color w:val="auto"/>
        </w:rPr>
        <w:t xml:space="preserve">Zr and </w:t>
      </w:r>
      <w:r>
        <w:rPr>
          <w:rFonts w:ascii="Times New Roman" w:cs="Times New Roman" w:eastAsia="Times New Roman" w:hAnsi="Times New Roman"/>
          <w:sz w:val="28"/>
          <w:szCs w:val="28"/>
          <w:color w:val="auto"/>
          <w:vertAlign w:val="superscript"/>
        </w:rPr>
        <w:t>225</w:t>
      </w:r>
      <w:r>
        <w:rPr>
          <w:rFonts w:ascii="Times New Roman" w:cs="Times New Roman" w:eastAsia="Times New Roman" w:hAnsi="Times New Roman"/>
          <w:sz w:val="17"/>
          <w:szCs w:val="17"/>
          <w:color w:val="auto"/>
        </w:rPr>
        <w:t xml:space="preserve">Ac products, and BAMF Health for </w:t>
      </w:r>
      <w:r>
        <w:rPr>
          <w:rFonts w:ascii="Times New Roman" w:cs="Times New Roman" w:eastAsia="Times New Roman" w:hAnsi="Times New Roman"/>
          <w:sz w:val="28"/>
          <w:szCs w:val="28"/>
          <w:color w:val="auto"/>
          <w:vertAlign w:val="superscript"/>
        </w:rPr>
        <w:t>18</w:t>
      </w:r>
      <w:r>
        <w:rPr>
          <w:rFonts w:ascii="Times New Roman" w:cs="Times New Roman" w:eastAsia="Times New Roman" w:hAnsi="Times New Roman"/>
          <w:sz w:val="17"/>
          <w:szCs w:val="17"/>
          <w:color w:val="auto"/>
        </w:rPr>
        <w:t>F products. We have agreements with Evergreen Theragnostics, AtomVie Global Radiopharma, Eckert &amp; Ziegler SE, Seibersdorf Laboratories and South Australian Health and Medical Research Institute for the manufacture of our therapeutic product candidates across multiple regions, and we are working on establishing additional key</w:t>
      </w:r>
    </w:p>
    <w:p>
      <w:pPr>
        <w:spacing w:after="0" w:line="3"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8"/>
          <w:szCs w:val="18"/>
          <w:color w:val="auto"/>
        </w:rPr>
        <w:t xml:space="preserve">manufacturers in APAC and the European Union. Our current capabilities encompass products radiolabelled with </w:t>
      </w:r>
      <w:r>
        <w:rPr>
          <w:rFonts w:ascii="Times New Roman" w:cs="Times New Roman" w:eastAsia="Times New Roman" w:hAnsi="Times New Roman"/>
          <w:sz w:val="29"/>
          <w:szCs w:val="29"/>
          <w:color w:val="auto"/>
          <w:vertAlign w:val="superscript"/>
        </w:rPr>
        <w:t>177</w:t>
      </w:r>
      <w:r>
        <w:rPr>
          <w:rFonts w:ascii="Times New Roman" w:cs="Times New Roman" w:eastAsia="Times New Roman" w:hAnsi="Times New Roman"/>
          <w:sz w:val="18"/>
          <w:szCs w:val="18"/>
          <w:color w:val="auto"/>
        </w:rPr>
        <w:t xml:space="preserve">Lu, </w:t>
      </w:r>
      <w:r>
        <w:rPr>
          <w:rFonts w:ascii="Times New Roman" w:cs="Times New Roman" w:eastAsia="Times New Roman" w:hAnsi="Times New Roman"/>
          <w:sz w:val="29"/>
          <w:szCs w:val="29"/>
          <w:color w:val="auto"/>
          <w:vertAlign w:val="superscript"/>
        </w:rPr>
        <w:t>131</w:t>
      </w:r>
      <w:r>
        <w:rPr>
          <w:rFonts w:ascii="Times New Roman" w:cs="Times New Roman" w:eastAsia="Times New Roman" w:hAnsi="Times New Roman"/>
          <w:sz w:val="18"/>
          <w:szCs w:val="18"/>
          <w:color w:val="auto"/>
        </w:rPr>
        <w:t xml:space="preserve">I, and </w:t>
      </w:r>
      <w:r>
        <w:rPr>
          <w:rFonts w:ascii="Times New Roman" w:cs="Times New Roman" w:eastAsia="Times New Roman" w:hAnsi="Times New Roman"/>
          <w:sz w:val="29"/>
          <w:szCs w:val="29"/>
          <w:color w:val="auto"/>
          <w:vertAlign w:val="superscript"/>
        </w:rPr>
        <w:t>89</w:t>
      </w:r>
      <w:r>
        <w:rPr>
          <w:rFonts w:ascii="Times New Roman" w:cs="Times New Roman" w:eastAsia="Times New Roman" w:hAnsi="Times New Roman"/>
          <w:sz w:val="18"/>
          <w:szCs w:val="18"/>
          <w:color w:val="auto"/>
        </w:rPr>
        <w:t xml:space="preserve">Zr, we aim to build-up our capabilities with respect to producing products radiolabelled alpha-emitters such as </w:t>
      </w:r>
      <w:r>
        <w:rPr>
          <w:rFonts w:ascii="Times New Roman" w:cs="Times New Roman" w:eastAsia="Times New Roman" w:hAnsi="Times New Roman"/>
          <w:sz w:val="29"/>
          <w:szCs w:val="29"/>
          <w:color w:val="auto"/>
          <w:vertAlign w:val="superscript"/>
        </w:rPr>
        <w:t>225</w:t>
      </w:r>
      <w:r>
        <w:rPr>
          <w:rFonts w:ascii="Times New Roman" w:cs="Times New Roman" w:eastAsia="Times New Roman" w:hAnsi="Times New Roman"/>
          <w:sz w:val="18"/>
          <w:szCs w:val="18"/>
          <w:color w:val="auto"/>
        </w:rPr>
        <w:t>Ac in 2025.</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dedicated to enhancing our global supply chain capabilities, particularly for the clinical and commercial supply of isotopes used in radiolabeling, as well as for supplying generators. We have established a series of strategic supply agreements with leading industry partners including Eckert &amp; Ziegler SE, Trace Sciences International, ITM, SHINE Technologies, the Australian Nuclear Science and Technology Organisation, and Eczacıbaşı- Monrol.</w:t>
      </w:r>
    </w:p>
    <w:p>
      <w:pPr>
        <w:spacing w:after="0" w:line="166" w:lineRule="exact"/>
        <w:rPr>
          <w:sz w:val="20"/>
          <w:szCs w:val="20"/>
          <w:color w:val="auto"/>
        </w:rPr>
      </w:pPr>
    </w:p>
    <w:p>
      <w:pPr>
        <w:jc w:val="both"/>
        <w:ind w:right="120"/>
        <w:spacing w:after="0" w:line="226" w:lineRule="auto"/>
        <w:rPr>
          <w:sz w:val="20"/>
          <w:szCs w:val="20"/>
          <w:color w:val="auto"/>
        </w:rPr>
      </w:pPr>
      <w:r>
        <w:rPr>
          <w:rFonts w:ascii="Times New Roman" w:cs="Times New Roman" w:eastAsia="Times New Roman" w:hAnsi="Times New Roman"/>
          <w:sz w:val="18"/>
          <w:szCs w:val="18"/>
          <w:color w:val="auto"/>
        </w:rPr>
        <w:t xml:space="preserve">These partnerships are pivotal in ensuring a broad and robust supply network for </w:t>
      </w:r>
      <w:r>
        <w:rPr>
          <w:rFonts w:ascii="Times New Roman" w:cs="Times New Roman" w:eastAsia="Times New Roman" w:hAnsi="Times New Roman"/>
          <w:sz w:val="29"/>
          <w:szCs w:val="29"/>
          <w:color w:val="auto"/>
          <w:vertAlign w:val="superscript"/>
        </w:rPr>
        <w:t>177</w:t>
      </w:r>
      <w:r>
        <w:rPr>
          <w:rFonts w:ascii="Times New Roman" w:cs="Times New Roman" w:eastAsia="Times New Roman" w:hAnsi="Times New Roman"/>
          <w:sz w:val="18"/>
          <w:szCs w:val="18"/>
          <w:color w:val="auto"/>
        </w:rPr>
        <w:t xml:space="preserve">Lu. By diversifying our supply chain through these contracts, we aim to create a resilient system that eliminates dependencies on a single supply chain. This approach is intended to ensure uninterrupted supply and to enhance our capability to meet growing demand. Each of these agreements includes a firm commitment for the supply of </w:t>
      </w:r>
      <w:r>
        <w:rPr>
          <w:rFonts w:ascii="Times New Roman" w:cs="Times New Roman" w:eastAsia="Times New Roman" w:hAnsi="Times New Roman"/>
          <w:sz w:val="29"/>
          <w:szCs w:val="29"/>
          <w:color w:val="auto"/>
          <w:vertAlign w:val="superscript"/>
        </w:rPr>
        <w:t>177</w:t>
      </w:r>
      <w:r>
        <w:rPr>
          <w:rFonts w:ascii="Times New Roman" w:cs="Times New Roman" w:eastAsia="Times New Roman" w:hAnsi="Times New Roman"/>
          <w:sz w:val="18"/>
          <w:szCs w:val="18"/>
          <w:color w:val="auto"/>
        </w:rPr>
        <w:t>Lu.</w:t>
      </w:r>
    </w:p>
    <w:p>
      <w:pPr>
        <w:spacing w:after="0" w:line="51"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18"/>
          <w:szCs w:val="18"/>
          <w:color w:val="auto"/>
        </w:rPr>
        <w:t xml:space="preserve">By these strategic agreements, we aim to maximize the available production process methods and reactor locations. This not only ensures a steady and diverse supply of </w:t>
      </w:r>
      <w:r>
        <w:rPr>
          <w:rFonts w:ascii="Times New Roman" w:cs="Times New Roman" w:eastAsia="Times New Roman" w:hAnsi="Times New Roman"/>
          <w:sz w:val="29"/>
          <w:szCs w:val="29"/>
          <w:color w:val="auto"/>
          <w:vertAlign w:val="superscript"/>
        </w:rPr>
        <w:t>177</w:t>
      </w:r>
      <w:r>
        <w:rPr>
          <w:rFonts w:ascii="Times New Roman" w:cs="Times New Roman" w:eastAsia="Times New Roman" w:hAnsi="Times New Roman"/>
          <w:sz w:val="18"/>
          <w:szCs w:val="18"/>
          <w:color w:val="auto"/>
        </w:rPr>
        <w:t>Lu but also allows us to adapt quickly to changing market demands and regulatory environments.</w:t>
      </w:r>
    </w:p>
    <w:p>
      <w:pPr>
        <w:spacing w:after="0" w:line="1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8"/>
          <w:szCs w:val="18"/>
          <w:color w:val="auto"/>
        </w:rPr>
        <w:t xml:space="preserve">In addition to securing a reliable supply, we are also committed to sustainable practices, particularly in the recycling of the starting material used to produce </w:t>
      </w:r>
      <w:r>
        <w:rPr>
          <w:rFonts w:ascii="Times New Roman" w:cs="Times New Roman" w:eastAsia="Times New Roman" w:hAnsi="Times New Roman"/>
          <w:sz w:val="29"/>
          <w:szCs w:val="29"/>
          <w:color w:val="auto"/>
          <w:vertAlign w:val="superscript"/>
        </w:rPr>
        <w:t>177</w:t>
      </w:r>
      <w:r>
        <w:rPr>
          <w:rFonts w:ascii="Times New Roman" w:cs="Times New Roman" w:eastAsia="Times New Roman" w:hAnsi="Times New Roman"/>
          <w:sz w:val="18"/>
          <w:szCs w:val="18"/>
          <w:color w:val="auto"/>
        </w:rPr>
        <w:t>Lu. This recycling process is an integral part of our supply chain, minimizing waste and ensuring the efficient use of resources. By incorporating these sustainable practices, we are not just focusing on meeting current demands but are also paving the way for a more environmentally responsible future in isotope production and supply.</w:t>
      </w:r>
    </w:p>
    <w:p>
      <w:pPr>
        <w:spacing w:after="0" w:line="2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aim to actively pursue the development and supply of future isotopes. Understanding the critical role these materials play in advancing medical and scientific endeavors, we are dedicated to ensuring a robust and resilient supply chain that can adapt to the evolving needs of the industry.</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approach is multi-faceted, focusing on strategic partnerships, technological innovation, and sustainable practices. We continuously seek to expand our network of suppliers and collaborators, forming alliances with leading entities in the field. This not only diversifies our supply sources but also fosters innovation through shared expertise and resources.</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Moreover, we are investing in cutting-edge technologies and processes that enhance our production capabilities, ensuring efficiency and reliability. Our commitment to sustainability, particularly in the recycling of materials, further strengthens our supply chain, reducing environmental impact while maximizing resource utilization.</w:t>
      </w:r>
    </w:p>
    <w:p>
      <w:pPr>
        <w:spacing w:after="0" w:line="17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recognize that the future of isotope supply lies in our ability to anticipate and respond to market changes and scientific advancements. Therefore, we are dedicated to ongoing research and development, ensuring that we remain at the forefront of isotope supply. Our goal is not just to meet current demands but to be a driving force in the development of new isotopes, paving the way for groundbreaking applications that can transform industries and improve lives.</w:t>
      </w:r>
    </w:p>
    <w:p>
      <w:pPr>
        <w:spacing w:after="0" w:line="15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commitment to a robust and resilient supply chain for future isotopes is unwavering. We understand the significance of our role in this dynamic field and are dedicated to maintaining the highest standards of quality, reliability, and innovation in all our endeavors.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Through these comprehensive efforts, we are seeking to position ourselves as a leader in the supply of isotopes for radiolabeling, backed by a supply chain that is as diverse as it is robust, ensuring the highest standards of quality and reliability for our clients.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Operations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commercial operations span the Americas, EMEA, and Asia Pacific Regions. Illuccix is approved in the United States, Canada, Australia, Denmark, Norway, and the United Kingdom, and permitted to be sold in New Zealand, and we are commercializing this product in these countries through local sales forces, which currently include over 40 associates, and together with distributor partners. We have secured a number of commercial partnerships covering certain geographies to enable distribution and/or commercialization of its products.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the United States, we have established a commercial radiopharmacy network of over 245 commercial radiopharmacies to distribute Illuccix, including partnerships with Cardinal Health, Inc., PharmaLogic Holdings, Corp., and Jubilant Pharma Ltd. We also have a distribution agreement with Isologic Innovative Radiopharmaceuticals Ltd for the Canadian market.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Asia Pacific, we have secured a strategic collaboration with Grand Pharmaceutical Group Limited, or Grand Pharma, in the Greater China area including Mainland China, Taiwan, Hong Kong and Macau. Grand Pharma has been appointed as our partner for this territory with exclusive development and commercialization rights to our portfolio. We have also secured exclusive distribution agreements in Australia with Global Medical Solutions Australia Pty Ltd and with DuChembio Co., Ltd. In South Korea.</w:t>
      </w:r>
    </w:p>
    <w:p>
      <w:pPr>
        <w:spacing w:after="0" w:line="18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Europe, we have exclusive distribution agreements for the upcoming launch of Illuccix in a number of geographies, including with Eckert &amp; Ziegler RadioPharma GmbH in Germany, Xiel Ltd in the United Kingdom and Ireland, IRE Elit S.A. in France, Radius S.r.l. in Italy, Nucliber S.A. in Spain, Biokosmos S.A. in Greece and Cyprus, Sociedade Avanço, Unipessoal, LDA in Portugal, THP Medical Products Vertriebs GmbH in Austrian, Czech Republic and Slovak Republic and WIIK Pharma ApS in Denmark, Finland, Norway and Sweden.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potential competitors include all entities developing and commercializing diagnostics and therapies in the field of oncology, through nuclear medicine and other modalities. This includes companies, academic institutions, government agencies, hospitals, other organizations involved in research, manufacturing, and commercialization of diagnostics and therapies. In addition to the current standard of care for patients, commercial and academic clinical trials are being pursued by a number of parties in the field of radiopharmaceuticals. Early results from these trials have fueled continued interest in radiopharmaceuticals, which is being pursued by several biotechnology companies, as well as by large pharmaceutical companies.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There are several companies with approved beta-based radiopharmaceuticals, including Novartis AG, Bayer AG, Sirtex Medical, Inc., Boston Scientific Corporation, Acrotech Biopharma LLC and Q BioMed Inc. and other companies developing beta-based radiopharmaceuticals, including Lantheus Holdings, Inc., Eli Lilly &amp; Company Ltd., ITM Isotope Technologies Munich SE, Debiopharm SA, Curium Holding France S.A.S, Clarity Pharmaceuticals Limited, The Bracco Group (through its Blue Earth Therapeutics Ltd. Subsidiary), and Y-mAbs Therapeutics, Inc. The beta emitting isotopes used by these companies include iodine-131, lutetium-177, strontium-89, copper-67, and yttrium-90.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several companies developing targeted alpha-based radiopharmaceuticals for the treatment of cancer, including Bayer AG, Novartis AG, Johnson</w:t>
      </w:r>
    </w:p>
    <w:p>
      <w:pPr>
        <w:spacing w:after="0" w:line="27" w:lineRule="exact"/>
        <w:rPr>
          <w:sz w:val="20"/>
          <w:szCs w:val="20"/>
          <w:color w:val="auto"/>
        </w:rPr>
      </w:pPr>
    </w:p>
    <w:p>
      <w:pPr>
        <w:ind w:right="20" w:firstLine="8"/>
        <w:spacing w:after="0" w:line="253" w:lineRule="auto"/>
        <w:tabs>
          <w:tab w:leader="none" w:pos="1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Johnson, Abdera Therapeutics, Inc., Actinium Pharmaceuticals, Inc, Aktis Oncology, Inc., Convergent Therapeutics, Inc., AstraZeneca PLC, ITM Isotope Technologies Munich SE, Perspective Therapeutics, Inc., Eli Lilly &amp; Company Ltd., RadioMedix, Inc., Bristol Myers Squibb Company and Y-mAbs Therapeutics, Inc. The only approved alpha particle-based therapy is Bayer’s Xofigo (Radium-223) which was approved in 2013 for the treatment of prostate cancer with symptomatic bone metastases.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consider our most direct competitors to be companies developing and commercializing diagnostics and therapies in our core therapy areas, including prostate cancer, kidney cancer, bladder cancer, brain cancer, sarcoma, and hematology.</w:t>
      </w:r>
    </w:p>
    <w:p>
      <w:pPr>
        <w:spacing w:after="0" w:line="152" w:lineRule="exact"/>
        <w:rPr>
          <w:sz w:val="20"/>
          <w:szCs w:val="20"/>
          <w:color w:val="auto"/>
        </w:rPr>
      </w:pPr>
    </w:p>
    <w:p>
      <w:pPr>
        <w:ind w:right="100"/>
        <w:spacing w:after="0" w:line="224" w:lineRule="auto"/>
        <w:rPr>
          <w:sz w:val="20"/>
          <w:szCs w:val="20"/>
          <w:color w:val="auto"/>
        </w:rPr>
      </w:pPr>
      <w:r>
        <w:rPr>
          <w:rFonts w:ascii="Times New Roman" w:cs="Times New Roman" w:eastAsia="Times New Roman" w:hAnsi="Times New Roman"/>
          <w:sz w:val="18"/>
          <w:szCs w:val="18"/>
          <w:color w:val="auto"/>
        </w:rPr>
        <w:t>In prostate cancer therapy, Pluvicto (</w:t>
      </w:r>
      <w:r>
        <w:rPr>
          <w:rFonts w:ascii="Times New Roman" w:cs="Times New Roman" w:eastAsia="Times New Roman" w:hAnsi="Times New Roman"/>
          <w:sz w:val="29"/>
          <w:szCs w:val="29"/>
          <w:color w:val="auto"/>
          <w:vertAlign w:val="superscript"/>
        </w:rPr>
        <w:t>177</w:t>
      </w:r>
      <w:r>
        <w:rPr>
          <w:rFonts w:ascii="Times New Roman" w:cs="Times New Roman" w:eastAsia="Times New Roman" w:hAnsi="Times New Roman"/>
          <w:sz w:val="18"/>
          <w:szCs w:val="18"/>
          <w:color w:val="auto"/>
        </w:rPr>
        <w:t>Lu vipivotide tetraxetan), marketed by Novartis AG, was approved by the FDA for the treatment of patients with PSMA-positive mCRPC who have been treated with androgen receptor pathway inhibition and taxane-based chemotherapy in March 2022. Pluvicto is the only FDA-approved PSMA-targeted therapy for the treatment of prostate cancer. Several other systemic radiotherapies are being investigated in clinical trials in the mCRPC setting and across other stages of prostate cancer, and potentially could be commercialized in the future.</w:t>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mCRPC treatment, there are several companies developing PSMA-targeted therapies in the mCRPC space, including Novartis AG, Convergent Therapeutics, Inc., Eli Lilly &amp; Company Ltd., Lantheus Holdings, Inc, Curium Holding France S.A.S, ARTBIO, Inc., The Bracco Group (through its Blue Earth Therapeutics Ltd. subsidiary), Clarity Pharmaceuticals Ltd., AstraZeneca PLC, Bayer AG, Orano Med SAS, Isotopia Molecular Imaging Ltd, ITM Isotope Technologies Munich SE, Johnson &amp; Johnson, AdvanCell Isotopes Pty Ltd, Alpha-9 Theranostics, Inc., Cancer Targeted Technology, LLC, FutureChem Co Ltd., Sinotau Pharmaceutical Group, Norroy Biosciences Co. Ltd., RadioPharm Theranostics Limited, Precision Molecular, Inc., CellBion Co., Ltd., StarPharma Holding Limited, Amgen Inc., Crescendo Biologics Limited, Poseida Therapeutics, Inc., Regeneron Pharmaceuticals, Inc., BioXcel Therapeutics, Inc., Lava Therapeutics NV, Janux Therapeutics, Inc., Vir Therapeutics, Inc., Bivision Pharmaceuticals, Inc., GlyTherix Ltd, Jiangsu Hengrui Pharmaceuticals Co., Ltd and Full-Life Technologies Limited. Our competitors also include companies developing other modalities to treat patients with mCRPC.</w:t>
      </w:r>
    </w:p>
    <w:p>
      <w:pPr>
        <w:spacing w:after="0" w:line="179"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8"/>
          <w:szCs w:val="18"/>
          <w:color w:val="auto"/>
        </w:rPr>
        <w:t xml:space="preserve">In prostate cancer imaging, UCLA and UCSF obtained FDA approval for </w:t>
      </w:r>
      <w:r>
        <w:rPr>
          <w:rFonts w:ascii="Times New Roman" w:cs="Times New Roman" w:eastAsia="Times New Roman" w:hAnsi="Times New Roman"/>
          <w:sz w:val="29"/>
          <w:szCs w:val="29"/>
          <w:color w:val="auto"/>
          <w:vertAlign w:val="superscript"/>
        </w:rPr>
        <w:t>68</w:t>
      </w:r>
      <w:r>
        <w:rPr>
          <w:rFonts w:ascii="Times New Roman" w:cs="Times New Roman" w:eastAsia="Times New Roman" w:hAnsi="Times New Roman"/>
          <w:sz w:val="18"/>
          <w:szCs w:val="18"/>
          <w:color w:val="auto"/>
        </w:rPr>
        <w:t>Ga-PSMA-11 in 2020, this was the first PSMA-PET imaging agent to be approved by the FDA. Pylarify (</w:t>
      </w: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F-piflufolastat), marketed by Lantheus Holdings, Inc, was approved by the FDA in 2021. Locametz (</w:t>
      </w:r>
      <w:r>
        <w:rPr>
          <w:rFonts w:ascii="Times New Roman" w:cs="Times New Roman" w:eastAsia="Times New Roman" w:hAnsi="Times New Roman"/>
          <w:sz w:val="29"/>
          <w:szCs w:val="29"/>
          <w:color w:val="auto"/>
          <w:vertAlign w:val="superscript"/>
        </w:rPr>
        <w:t>68</w:t>
      </w:r>
      <w:r>
        <w:rPr>
          <w:rFonts w:ascii="Times New Roman" w:cs="Times New Roman" w:eastAsia="Times New Roman" w:hAnsi="Times New Roman"/>
          <w:sz w:val="18"/>
          <w:szCs w:val="18"/>
          <w:color w:val="auto"/>
        </w:rPr>
        <w:t>Ga-PSMA-11), marketed by Novartis, received FDA approval in 2022 and Posluma (</w:t>
      </w: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F-flotufolastat), marketed by The Bracco Group (through its Blue Earth Diagnostics Ltd. subsidiary), received FDA approval in 2023. Several other PSMA-PET product candidates are being evaluated in clinical trials for prostate cancer imaging and may be commercialized in the future. Companies developing PSMA-PET imaging agents include Curium Holding France S.A.S., Clarity Pharmaceuticals Limited, ABX advanced biochemical compounds GmbH, Isotopia Molecular Imaging Ltd, Itel Telecomunicazioni Srl, ITM Isotope Technologies Munich SE, Five Eleven Pharma, Inc., RadioMedix, Inc., CellBion Co., Ltd., Norroy Biosciences Co. Ltd., HTA Co. Ltd and Jiangsu Hengrui Pharmaceuticals Co., Ltd.</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kidney cancer therapy, there are several companies developing CAIX-targeted systemic radiotherapies, including ITM Isotope Technologies Munich SE, Debiopharm SA, Precision Molecular, Inc., Norroy Biosciences Co. Ltd., PeptiDream Inc., Bayer AG and Bristol Myers Squibb Company. Our competitors also include companies developing other modalities to treat patients with kidney cancer.</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kidney cancer imaging, there are several companies developing ccRCC or CAIX-targeted imaging agents, including ITM Isotope Technologies Munich SE, Debiopharm SA, Philogen S.p.A., ImaginAb, Inc., Precision Molecular, Astellas Pharma, Inc., Norroy Biosciences Co. Ltd., PeptiDream Inc., and Five Eleven Pharma, Inc.</w:t>
      </w:r>
    </w:p>
    <w:p>
      <w:pPr>
        <w:spacing w:after="0" w:line="176"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In bladder cancer therapy, there are several companies developing systemic radiotherapies, including Aktis Oncology, Inc., Glytherix Ltd., AstraZeneca PLC and NuView Life Sciences, Inc. Our competitors also include companies developing other modalities to treat patients with bladder cancer.</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glioblastoma therapy, there are several companies developing systemic radiotherapies for brain tumors, including ITM Isotope Technologies Munich SE, Molecular Targeting Technologies, Inc., Novartis AG, RadioPharm Theranostics Limited, Plus Therapeutics, Inc., Ariceum Therapeutics GmbH, Boston Scientific Corporation, and Cellectar Biosciences, Inc. Our competitors also include companies developing other modalities to treat patients with glioblastoma.</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brain cancer imaging, there are several companies developing imaging agents for primary brain tumors and brain metastases, including Novartis AG, The Bracco Group (through its Blue Earth Diagnostics Ltd. subsidiary), RadioPharm Theranostics Limited, Curasight A/S, Molecular Targeting Technologies, Inc., and BoomRay Pharmaceuticals Co., Ltd.</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sarcoma, there are several companies developing systemic radiotherapies in the soft-tissue sarcoma space, including OncoTherapy Sciences, Inc., RadioPharm Theranostics Limited, Ratio Therapeutics, Inc., Y-mAbs Therapeutics, Inc., and Cellectar Biosciences, Inc.</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hematology, there are several companies developing systemic radiotherapies in the hematology space, including Actinium Pharmaceuticals, Inc., Bayer AG, Sensei Biotherapeutics, Inc., ImaginAb, Inc. Acrotech Biopharma Inc., Nordic Nanovector ASA, Orano Med SAS, Samus Therapeutics, Inc., Cellectar Biosciences, Inc. and Jasper Therapeutics. Inc.</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could see a reduction or elimination in our commercial opportunity if our competitors develop and commercialize drugs that are safer, more effective, have fewer or less severe side effects, are more convenient to administer, are less expensive or with a more favorable label than our product candidates.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 to be efficacy, safety, convenience, price, availability of the relevant isotope, the effectiveness of imaging diagnostics, the level of generic competition and the availability of reimbursement from government and other third-party payors.</w:t>
      </w:r>
    </w:p>
    <w:p>
      <w:pPr>
        <w:sectPr>
          <w:pgSz w:w="11900" w:h="16838" w:orient="portrait"/>
          <w:cols w:equalWidth="0" w:num="1">
            <w:col w:w="11240"/>
          </w:cols>
          <w:pgMar w:left="320" w:top="115"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Protection</w:t>
      </w:r>
    </w:p>
    <w:p>
      <w:pPr>
        <w:spacing w:after="0" w:line="22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By their very nature, radiopharmaceuticals must be delivered through a complicated supply chain and go to market model requiring specialized physics, chemistry and biological expertise for successful development and commercialization protected by know-how and trade secrets. This specialization provides a practical barrier to competitor entry without the same specialist expertise, however we aim to build, maintain and continuously improve our exclusivity and patent position to protect our innovation contribution. We aim to integrate regulatory filing strategy designed to maximize regulatory market or data exclusivity (including applicable for biologics, orphan drugs) and through targeted patent protection across the spectrum of compound, dosing, radiolabeling technology, handling, preparation process and manufacturing inventions.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Older radiopharmaceuticals were historically routinely used in the public domain academia for many years under practice of pharmacy or individual named patient prescribing regulatory pathways. This has the benefit of established use and real-life clinical application and experience for such products when made commercially available, but does potentially create the result that patent protection is not available or has only limited remaining exclusivity.</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original third-party licensed products were in-licensed and were accepted on an “as-is” basis. We have limited opportunity to determine or influence territory and scope of third-party licensor portfolio and the time to make changes to scope or territory has long since passed under applicable patent laws. However even for these earlier products, we have expanded our patent portfolio where possible and seek to obtain related new patents for updates in handling, dosing and manufacturing to maximize patent exclusivity where feasible, in addition to our supply chain know-how and trade secrets.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our newer programs and next generation radiopharmaceuticals, the patent protection is deeper and wider across the spectrum of compound, method of treatment, dosing, radiolabeling technology, handling, preparation process and manufacturing inventions based on our newer proprietary technologies or due to our innovation in the end-to-end process.</w:t>
      </w:r>
    </w:p>
    <w:p>
      <w:pPr>
        <w:spacing w:after="0" w:line="17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have in-licensed registered intellectual property associated with our key therapeutic products: TLX591, TLX250, TLX101, TLX102, TLX090, TLX300, TLX66 and related imaging product TLX250-CDx in addition to supplementary intellectual property owned by us. Intellectual property for Illuccix, TLX592, TLX252 and TLX101-CDx is wholly owned by us. We have also filed our own applications for registered patents and trademarks in respect of our key products.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Patents are granted by national and regional intellectual property offices in accordance with the corresponding national laws. Granted patents provide a right to prevent use, sale, importation or other unauthorized exploitation of the invention. Protection is generally limited to actions in or relating to the countries in which protection is obtained, and enforcement is generally by litigation. The scope of protection is defined by the terms of the claims. Patents are (in broad terms) infringed when another party takes all of the elements of one or more of the claims in the patent.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generally have a maximum term of 20 years after the filing date, subject to the payment of renewal fees in all the relevant countries.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field of pharmaceuticals, patent term extensions or supplementary protection certificates may extend the term of a patent beyond 20 years in certain jurisdictions. Examples of important jurisdictions where these regimes are available are the United States, Europe, Japan and Australia. Many of the patents and patent applications which are in-licensed or owned by us may be able to be extended under the patent term extension or supplementary protection certificate regimes (in jurisdictions where these regimes are available) once the key products have been the subject of regulatory approval as the claims are directed to pharmaceutical products and their uses. The extensions in term are typically up to five years in duration and are often related to the delay between filing the patent and regulatory approval of the pharmaceutical product.</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 for Patentability</w:t>
      </w:r>
    </w:p>
    <w:p>
      <w:pPr>
        <w:spacing w:after="0" w:line="227"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requirements for patentability differ in detail from country to country. However, in general terms the main requirements are that the invention relate to patentable subject matter; that the invention is novel and has an inventive step; and that the patent contain an adequate disclosure of performing or making the invention. In order to be new, the invention must not have been disclosed in writing or otherwise in public, or offered for sale, before the priority date. The requirement of inventive step is, in general terms, that the invention must go beyond what the skilled worker in the field would arrive at as a matter of course when attempting to address the same problem as the invention.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Procedure for Obtaining Patent Protection</w:t>
      </w:r>
    </w:p>
    <w:p>
      <w:pPr>
        <w:spacing w:after="0" w:line="22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Patents are granted on a national basis. International patent protection is based upon a system of well-established and widely adopted international conventions. The first application for a patent for an invention is called the priority application, and its filing date is known as the priority date. If patent applications relating to the same subject matter in other countries are filed within a year from the priority date, then (in accordance with the Paris Convention, World Trade Organization (WTO) Treaty and bilateral agreements) they retain the effective filing date of the priority date for the purpose of assessing novelty and inventive step.</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There are three different types of patent application of relevance. A provisional application acts as a filing to obtain a priority date. It does not proceed to grant; rather, a later application must be filed within a year of the priority date to claim the benefit of that filing. Provisional applications are not examined by the patent authorities. A national filing is a regular patent application in a particular country or region. It will be examined in most cases by the local or regional patent authorities. Applications can be filed directly in the country or region, or using another convention called the Patent Cooperation Treaty, or PCT. The PCT allows for a single application to be filed in a single patent office, designating all the member states, obtain a preliminary search and opinion, and delay filing into the national and regional intellectual property offices for a period of 30 months from the priority date. The PCT currently has 148 members, including all OECD member countries. At the end of this period, national filings must be made in the countries of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 application is examined in each country (or in some cases regional offices) according to its national laws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Limitations of Patent Protection</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limitations are inherent in the patent system. In all relevant countries it is possible to challenge the validity of a patent even after it has been granted by the intellectual property office. This may be possible by administrative processes at the relevant patent office, court procedures, or both. A successful challenge to validity will result in the patent being narrowed in scope, or completely revoked. Patent offices do not guarantee the validity of patents granted. Because of the limited scope of material searchable by the patent office, compared to the potential to use any document or act before the priority date to attack validity, there is a risk that presently unknown material relevant to patentability will be discovered at a later time, with consequent risks to validity. The scope of a granted patent may be significantly different to a pending application, and so it is not possible to advise with certainty in relation to infringement of a pending application.</w:t>
      </w:r>
    </w:p>
    <w:p>
      <w:pPr>
        <w:spacing w:after="0" w:line="18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Pending patent applications may never proceed to be granted patents. It is not generally possible to commence litigation based on a pending application, it is necessary to obtain a granted patent. However, damages in some instances and in some jurisdictions may be backdated for part of the period of pendency. Our review shows that none of the patents and patent applications in-licensed or owned by us are presently the subject of a challenge by a third party. EP0956506 has previously been challenged in opposition proceedings before the European Patent Office but the opposition was successfully dismissed.</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Proprietorship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 requirement for validity of patents in Australia and other jurisdictions that there be a clear chain of title from the inventor to the applicant or owner.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Challenges to proprietorship can be a basis for revocation of patents.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Registered trademarks protect indications which serve to distinguish the goods or services of one competitor from those of others, and provide the owner with the exclusive right to use or authorize others to use the trademark in relation to the goods and services for which it is registered. Trademarks are granted generally on a national or regional basis. International filings are governed by international treaties, in a similar manner to patents, but with a six-month priority period. The intellectual property offices in each country in most cases conduct searches and examination prior to registration. Applications are typically pending for a period of six months to two years prior to grant. Trademarks are subject to challenge by third parties in each jurisdiction before and after grant, using administrative and/or court-based processes on various grounds.</w:t>
      </w:r>
    </w:p>
    <w:p>
      <w:pPr>
        <w:spacing w:after="0" w:line="187"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In total, as of December 31, 2024, we own 17 registered U.S. trademarks, 19 pending U.S. trademark applications, 182 foreign trademarks registered in jurisdictions such as Australia, Europe, China, Brazil and Japan, and 105 pending foreign trademark applications applied for in jurisdictions such as Australia, Europe, China, Brazil and Japan. We currently have trademark registrations in the United States for the Telix Pharmaceuticals name, the Illuccix name and logo, the ANMI name, the SENSEI name, the ARTMS name, and the RADMAB name and other trademarks are pending in the United States such as the Optimal Tracers name and logo, the Lightpoint logo, the Lightpoint Surgical name, the Dedicaid name, Pixclara, Gozellix, and Zircaix. Outside of the United States, Illuccix is registered in Australia, Brazil, Canada, China, the European Union, India, Israel, Japan, Malaysia, New Zealand, Norway, Peru, Philippines, South Korea, Singapore, Switzerland, Taiwan, Turkey, the United Kingdom and is pending in Thailand. We have also selectively filed the following names and logos outside of the United States: Pixclara, Gozellix, Zircaix, Lightpoint, Dedicaid, Optimal Tracers, ANMI, ARTMS, and RADMAB.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-716915</wp:posOffset>
            </wp:positionV>
            <wp:extent cx="285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 Exclusivity Provisions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Data and market exclusivity provisions exist in each jurisdiction. Relevantly for us, they relate to the regulatory approval of pharmaceutical products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alia</w:t>
      </w:r>
      <w:r>
        <w:rPr>
          <w:rFonts w:ascii="Times New Roman" w:cs="Times New Roman" w:eastAsia="Times New Roman" w:hAnsi="Times New Roman"/>
          <w:sz w:val="18"/>
          <w:szCs w:val="18"/>
          <w:color w:val="auto"/>
        </w:rPr>
        <w:t>. The provisions provide periods within which a competitor is limited in their ability to obtain regulatory approval for a follow-on product.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exclusivity relates to the period in which information relating to the safety and efficacy of a product, provided to a regulatory authority for the purposes of obtaining regulatory approval, remains confidential, or cannot be relied upon by the regulatory authority or a third-party in order to obtain regulatory approval of a follow-on product. Data exclusivity is separate from other forms of exclusivity, such as the monopoly provided by patents. In some instances, the period of data exclusivity may extend beyond the term of any patent which protects the same product. Market exclusivity refers to a period where a party wishing to sell a follow-on product is prohibited from doing so, even if regulatory approval has been obtained.</w:t>
      </w:r>
    </w:p>
    <w:p>
      <w:pPr>
        <w:spacing w:after="0" w:line="18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As our key products are radio pharmaceutical products, they will have the benefit of periods of data and market exclusivity available in each jurisdiction following regulatory approval. These are typically five years or more in duration (and eight years data exclusivity plus two years market exclusivity for European jurisdictions).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Patent Portfolio</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regulatory exclusivity, proprietary or intellectual property protection for our products and product candidates, our core technologies, and other know-how, to operate without infringing on the proprietary rights of others and to prevent others from infringing our proprietary or intellectual property rights. Our policy is to seek to protect our proprietary and intellectual property position by, among other methods, filing patent applications in the United States and in foreign jurisdictions related to our proprietary technology and products and product candidates. We also rely on trade secrets, know-how and continuing technological innovation to develop and maintain our proprietary and intellectual property position.</w:t>
      </w:r>
    </w:p>
    <w:p>
      <w:pPr>
        <w:spacing w:after="0" w:line="18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also in-license patent portfolios relating to our product pipeline and to emerging product candidates as well as technologies that are adjacent such as radiolabeling technologies, linker technologies, chelator technologies, bioconjugation techniques, antibody manufacturing and modifications, isotope manufacture, AI techniques and applications, and medical imaging devices,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total, as of December 31, 2024, we have in-licensed 31 U.S.-issued patents and 380 foreign-issued patents granted in jurisdictions such as Australia, Canada, Germany, Italy, Spain, the United Kingdom, France, Turkey, Russia, Japan, China, Korea, Singapore, India, Israel, Mexico, and Brazil. As of August 23, 2024, we have also in-licensed eight pending non-provisional U.S. patent applications and 53 pending foreign-patent applications applied for in jurisdictions such as in Australia, Canada, Europe, Russia, Japan, China, India, Mexico, and Brazil.</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total, as of December 31, 2024, we own either solely, or jointly with our commercial partners, 11 U.S.-issued patents and 108 foreign patents granted in jurisdictions such as Australia, Canada, Germany, Italy, Spain, the United Kingdom, France, Turkey, Russia, Japan, China, India, Israel, Mexico, and Brazil. As of December 31, 2024, we also have pending, either solely or jointly with our commercial partners, 21 non-provisional U.S. patent applications, 108 foreign patent applications applied for in jurisdictions such as in Australia, Canada, Europe, Japan, China, Korea, Singapore, India, Israel, Mexico, and Brazil, and ten pending international applications filed under the PCT. The PCT is an international patent law treaty that provides a unified procedure for filing a single initial patent application to seek patent protection for an invention simultaneously in each of the member states. Although a PCT application is not itself examined and cannot issue as a patent, it allows the applicant to seek protection in any of the member states through national-phase applications.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intellectual property portfolios for our key products and product candidates as of December 31, 2024 are summarized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Illuccix</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Illuccix patent portfolio covers the pharmaceutical product and the unique arrangement of components of the kit as well as methods of making gozetotide. The patent family directed to the pharmaceutical product and the unique arrangement of components of the kit consists of four U.S.-issued patents; 53 foreign-issued patents granted in Australia, Canada, Belgium, Finland, Switzerland, Lichtenstein, the Czech Republic, Denmark, Austria, Greece, Hungary, Ireland, the Netherlands, Norway, Portugal, Sweden, Germany, Italy, Spain, the United Kingdom, France, Turkey, Russia, Japan, China, India, Israel, Mexico, South Africa, New Zealand and Brazil, 10 pending foreign patent applications applied for in Australia, Europe, India and Hong Kong, and four pending U.S. non-provisional applications. The patent family directed to methods of making gozetotide consists of one pending U.S. non-provisional patent application and ten pending foreign patent applications in Australia, Brazil, Canada, Mexico, China, Europe, Japan, Korea, Hong Kong and Singapore.</w:t>
      </w:r>
    </w:p>
    <w:p>
      <w:pPr>
        <w:spacing w:after="0" w:line="1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is one U.S. patent registered under the U.S. Orange Book which is directed to methods of imaging using the pharmaceutical product prepared with Illuccix.</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Any patents that may issue in the United States as part of our patent portfolio directed to the pharmaceutical product or the kit will expire no earlier than 2035, not including any terminal disclaimer, patent term adjustment due to administrative delays by the U.S. Patent and Trademark Office, or USPTO, or patent term extension under the Hatch-Waxman Act. Any patents that may issue in foreign jurisdictions will likewise expire no earlier than 2035. Any patents that may issue in the United States directed to methods of making gozetotide will expire in 2042, absent any terminal disclaimer, patent term adjustment due to administrative delays by the USPTO or patent term extension under the Hatch-Waxman Act. Any patents issued in foreign jurisdictions will likewise expire in 2042.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TLX250-CDx (</w:t>
      </w:r>
      <w:r>
        <w:rPr>
          <w:rFonts w:ascii="Times New Roman" w:cs="Times New Roman" w:eastAsia="Times New Roman" w:hAnsi="Times New Roman"/>
          <w:sz w:val="29"/>
          <w:szCs w:val="29"/>
          <w:b w:val="1"/>
          <w:bCs w:val="1"/>
          <w:i w:val="1"/>
          <w:iCs w:val="1"/>
          <w:color w:val="auto"/>
          <w:vertAlign w:val="superscript"/>
        </w:rPr>
        <w:t>89</w:t>
      </w:r>
      <w:r>
        <w:rPr>
          <w:rFonts w:ascii="Times New Roman" w:cs="Times New Roman" w:eastAsia="Times New Roman" w:hAnsi="Times New Roman"/>
          <w:sz w:val="18"/>
          <w:szCs w:val="18"/>
          <w:b w:val="1"/>
          <w:bCs w:val="1"/>
          <w:i w:val="1"/>
          <w:iCs w:val="1"/>
          <w:color w:val="auto"/>
        </w:rPr>
        <w:t>Zr-girentuximab) and TLX250 (</w:t>
      </w:r>
      <w:r>
        <w:rPr>
          <w:rFonts w:ascii="Times New Roman" w:cs="Times New Roman" w:eastAsia="Times New Roman" w:hAnsi="Times New Roman"/>
          <w:sz w:val="29"/>
          <w:szCs w:val="29"/>
          <w:b w:val="1"/>
          <w:bCs w:val="1"/>
          <w:i w:val="1"/>
          <w:iCs w:val="1"/>
          <w:color w:val="auto"/>
          <w:vertAlign w:val="superscript"/>
        </w:rPr>
        <w:t>177</w:t>
      </w:r>
      <w:r>
        <w:rPr>
          <w:rFonts w:ascii="Times New Roman" w:cs="Times New Roman" w:eastAsia="Times New Roman" w:hAnsi="Times New Roman"/>
          <w:sz w:val="18"/>
          <w:szCs w:val="18"/>
          <w:b w:val="1"/>
          <w:bCs w:val="1"/>
          <w:i w:val="1"/>
          <w:iCs w:val="1"/>
          <w:color w:val="auto"/>
        </w:rPr>
        <w:t>Lu-girentuximab)</w:t>
      </w:r>
    </w:p>
    <w:p>
      <w:pPr>
        <w:spacing w:after="0" w:line="11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have in-licensed six patent families from Heidelberg Pharma AG (formerly Wilex AG) directed to the CAIX-targeting girentuximab antibody and various therapeutic and imaging applications thereof.</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in-licensed patent portfolio includes four U.S.-issued patents, 22 foreign-issued patents granted in Australia, Canada, Germany, Spain, Italy, France, the United Kingdom, Korea, New Zealand, South Africa, Israel, Russia and Mexico, and three foreign patent applications applied for in Brazil, China and Japan. Expiry dates vary from 2025 to 2034 across the portfolio, not including any patent term extension under the Drug Price Competition and Patent Term Restoration Act of 1984, commonly referred to as the Hatch-Waxman Act, or equivalent provisions in foreign jurisdictions.</w:t>
      </w: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two patent families directed to aspects of the manufacture of TLX250-CDx. These patent families include two pending U.S. non-provisional patent applications and 16 foreign patent applications applied for in Australia, Brazil, Canada, Europe, Korea, Singapore, China and Japan. Any patents that may issue in the United States based on the non-provisional US patent applications will expire no earlier than 2042, not including any terminal disclaimer, patent term adjustment due to administrative delays by the USPTO or patent term extension under the Hatch-Waxman Act. Any patents issued in foreign jurisdictions will likewise expire no earlier than 2042.</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two patent families directed to the use of TLX250-CDx and TLX250 in imaging and therapy of CAIX-expressing cancers other ccRCC. These patent families consist of two pending PCT applications. Any patents that may issue in the United States based on the pending PCT application will expire no earlier than 2043, not including any terminal disclaimer, patent term adjustment due to administrative delays by the USPTO or patent term extension under the Hatch-Waxman Act. Any patents issued in foreign jurisdictions will likewise expire no earlier than 2043.</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one patent family directed to combinations of TLX250 with checkpoint inhibitors. This patent family consists of one pending U.S. non-provisional patent application and 6 foreign patent applications applied for in Australia, Brazil, Canada, Europe, Mexico and Singapore. Any patents that may issue in the United States based on the pending PCT application will expire no earlier than 2043, not including any terminal disclaimer, patent term adjustment due to administrative delays by the USPTO or patent term extension under the Hatch-Waxman Act. Any patents issued in foreign jurisdictions will likewise expire no earlier than 2043.</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one patent family directed to the combination of TLX250 with DNA damage repair inhibitors. This patent family include one pending U.S. non-provisional patent application and ten foreign patent applications applied for in Australia, Brazil, Canada, Europe, Israel, Korea, Mexico, Singapore, China and Japan, Any patents that may issue in the United States based on the U.S. non-provisional patent application will expire no earlier than 2042, not including any terminal disclaimer, patent term adjustment due to administrative delays by the USPTO or patent term extension under the Hatch-Waxman Act. Any patents issued in foreign jurisdictions will likewise expire no earlier than 2042.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biological products, TLX250-CDx and TLX250 will be entitled to 12 years data exclusivity from the date of product approval.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TLX252 (</w:t>
      </w:r>
      <w:r>
        <w:rPr>
          <w:rFonts w:ascii="Times New Roman" w:cs="Times New Roman" w:eastAsia="Times New Roman" w:hAnsi="Times New Roman"/>
          <w:sz w:val="29"/>
          <w:szCs w:val="29"/>
          <w:i w:val="1"/>
          <w:iCs w:val="1"/>
          <w:color w:val="auto"/>
          <w:vertAlign w:val="superscript"/>
        </w:rPr>
        <w:t>225</w:t>
      </w:r>
      <w:r>
        <w:rPr>
          <w:rFonts w:ascii="Times New Roman" w:cs="Times New Roman" w:eastAsia="Times New Roman" w:hAnsi="Times New Roman"/>
          <w:sz w:val="18"/>
          <w:szCs w:val="18"/>
          <w:i w:val="1"/>
          <w:iCs w:val="1"/>
          <w:color w:val="auto"/>
        </w:rPr>
        <w:t>Ac-DOTA-girentuximab)</w:t>
      </w:r>
    </w:p>
    <w:p>
      <w:pPr>
        <w:spacing w:after="0" w:line="1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 single patent family patent directed to the composition of matter of TLX252, its radiolabeled forms and uses in imaging and therapy. The patent family includes one pending U.S. non-provisional patent application and 16 pending foreign patent applications in Canada, Chile, China, India, Japan, Korea, Mexico, Australia, Europe, Eurasia, India, New Zealand, Brazil, Hong Kong, Israel and Singapore. Any patents that may issue in the United States will expire no earlier than 2040, not including any terminal disclaimer, patent term adjustment due to administrative delays by the USPTO or patent term extension under the Hatch-Waxman Act. Any patents that may issue in foreign jurisdictions will likewise expire no earlier than 2040.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TLX101-CDx (</w:t>
      </w:r>
      <w:r>
        <w:rPr>
          <w:rFonts w:ascii="Times New Roman" w:cs="Times New Roman" w:eastAsia="Times New Roman" w:hAnsi="Times New Roman"/>
          <w:sz w:val="29"/>
          <w:szCs w:val="29"/>
          <w:i w:val="1"/>
          <w:iCs w:val="1"/>
          <w:color w:val="auto"/>
          <w:vertAlign w:val="superscript"/>
        </w:rPr>
        <w:t>18</w:t>
      </w:r>
      <w:r>
        <w:rPr>
          <w:rFonts w:ascii="Times New Roman" w:cs="Times New Roman" w:eastAsia="Times New Roman" w:hAnsi="Times New Roman"/>
          <w:sz w:val="18"/>
          <w:szCs w:val="18"/>
          <w:i w:val="1"/>
          <w:iCs w:val="1"/>
          <w:color w:val="auto"/>
        </w:rPr>
        <w:t>F-FET)</w:t>
      </w:r>
    </w:p>
    <w:p>
      <w:pPr>
        <w:spacing w:after="0" w:line="11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have orphan drug and fast track designation for TLX101-CDx in the United States, which we expect to yield up to seven years regulatory exclusivity following product approval.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TLX101 (</w:t>
      </w:r>
      <w:r>
        <w:rPr>
          <w:rFonts w:ascii="Times New Roman" w:cs="Times New Roman" w:eastAsia="Times New Roman" w:hAnsi="Times New Roman"/>
          <w:sz w:val="29"/>
          <w:szCs w:val="29"/>
          <w:i w:val="1"/>
          <w:iCs w:val="1"/>
          <w:color w:val="auto"/>
          <w:vertAlign w:val="superscript"/>
        </w:rPr>
        <w:t>131</w:t>
      </w:r>
      <w:r>
        <w:rPr>
          <w:rFonts w:ascii="Times New Roman" w:cs="Times New Roman" w:eastAsia="Times New Roman" w:hAnsi="Times New Roman"/>
          <w:sz w:val="18"/>
          <w:szCs w:val="18"/>
          <w:i w:val="1"/>
          <w:iCs w:val="1"/>
          <w:color w:val="auto"/>
        </w:rPr>
        <w:t>I-IPA) and TLX102 (</w:t>
      </w:r>
      <w:r>
        <w:rPr>
          <w:rFonts w:ascii="Times New Roman" w:cs="Times New Roman" w:eastAsia="Times New Roman" w:hAnsi="Times New Roman"/>
          <w:sz w:val="29"/>
          <w:szCs w:val="29"/>
          <w:i w:val="1"/>
          <w:iCs w:val="1"/>
          <w:color w:val="auto"/>
          <w:vertAlign w:val="superscript"/>
        </w:rPr>
        <w:t>211</w:t>
      </w:r>
      <w:r>
        <w:rPr>
          <w:rFonts w:ascii="Times New Roman" w:cs="Times New Roman" w:eastAsia="Times New Roman" w:hAnsi="Times New Roman"/>
          <w:sz w:val="18"/>
          <w:szCs w:val="18"/>
          <w:i w:val="1"/>
          <w:iCs w:val="1"/>
          <w:color w:val="auto"/>
        </w:rPr>
        <w:t>At-APA)</w:t>
      </w:r>
    </w:p>
    <w:p>
      <w:pPr>
        <w:spacing w:after="0" w:line="1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in-licensed a patent portfolio directed to methods of treatment using TLX101 and TLX102 licensed from Dr. Samuel Samnick, a German nuclear medicine researcher. There are two U.S.-issued patents which will expire no earlier than 2028 and 2031 respectively, not including any patent term extension under the Hatch-Waxman Act. There are eight foreign issued patents in Australia, Canada, Germany, the United Kingdom, Spain, France, Japan, and Korea which will expire no earlier than 2026.</w:t>
      </w:r>
    </w:p>
    <w:p>
      <w:pPr>
        <w:spacing w:after="0" w:line="18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have in-licensed a patent portfolio directed to a method of manufacturing TLX101 and TLX102 from Osaka University. There is one U.S.-issued patent, one pending US non-provisional application, two foreign-issued patents in Australia, Japan, Switzerland, Lichtenstein, Spain, the UK, and Turkey, one foreign issued patent under the European Unified Patent Convention (which covers Austria, Belgium, Bulgaria, Denmark, Estonia, Finland, France, Germany, Italy, Latvia, Lithuania, Luxembourg, Malta, Netherlands, Portugal, Romania, Slovenia, and Sweden) and one pending foreign application in Europe. Any patents that may issue in the United States based on the pending PCT application will expire no earlier than 2038, not including any terminal disclaimer, patent term adjustment due to administrative delays by the USPTO or patent term extension under the Hatch-Waxman Act. Any patents issued in foreign jurisdictions will likewise expire no earlier than 2038.</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orphan drug designation for TLX101 in the United States and Europe which will grant us the customary regulatory exclusivity, currently expected to be up to seven years from date of product approval.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TLX591 (</w:t>
      </w:r>
      <w:r>
        <w:rPr>
          <w:rFonts w:ascii="Times New Roman" w:cs="Times New Roman" w:eastAsia="Times New Roman" w:hAnsi="Times New Roman"/>
          <w:sz w:val="29"/>
          <w:szCs w:val="29"/>
          <w:i w:val="1"/>
          <w:iCs w:val="1"/>
          <w:color w:val="auto"/>
          <w:vertAlign w:val="superscript"/>
        </w:rPr>
        <w:t>177</w:t>
      </w:r>
      <w:r>
        <w:rPr>
          <w:rFonts w:ascii="Times New Roman" w:cs="Times New Roman" w:eastAsia="Times New Roman" w:hAnsi="Times New Roman"/>
          <w:sz w:val="18"/>
          <w:szCs w:val="18"/>
          <w:i w:val="1"/>
          <w:iCs w:val="1"/>
          <w:color w:val="auto"/>
        </w:rPr>
        <w:t>Lu rosopatamab tetraxetan)</w:t>
      </w:r>
    </w:p>
    <w:p>
      <w:pPr>
        <w:spacing w:after="0" w:line="11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have sub-licensed a Cornell University (and associated entities) patent portfolio from BZL Biologics LLC directed to TLX591 and combination therapies of TLX591 with androgen deprivation therapy.</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sub-licensed patent portfolio includes one U.S.-issued patent, one pending U.S. non-provisional patent application, 14 foreign-issued patents in Belgium, Canada, Japan, Germany, France, Spain, the United Kingdom, Luxembourg and the Netherlands, and a pending foreign application in Europe directed to combinations with androgen deprivation therapy.</w:t>
      </w:r>
    </w:p>
    <w:p>
      <w:pPr>
        <w:spacing w:after="0" w:line="176"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Any patents that may issue in the United States will expire no earlier than 2028, not including any terminal disclaimer, patent term adjustment due to administrative delays by the USPTO or patent term extension under the Hatch-Waxman Act. Any patents that may issue in foreign jurisdictions will likewise expire no earlier than 2028.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biological product, TLX591 will be entitled to 12 years data exclusivity from the date of product approval.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TLX592 (</w:t>
      </w:r>
      <w:r>
        <w:rPr>
          <w:rFonts w:ascii="Times New Roman" w:cs="Times New Roman" w:eastAsia="Times New Roman" w:hAnsi="Times New Roman"/>
          <w:sz w:val="29"/>
          <w:szCs w:val="29"/>
          <w:i w:val="1"/>
          <w:iCs w:val="1"/>
          <w:color w:val="auto"/>
          <w:vertAlign w:val="superscript"/>
        </w:rPr>
        <w:t>225</w:t>
      </w:r>
      <w:r>
        <w:rPr>
          <w:rFonts w:ascii="Times New Roman" w:cs="Times New Roman" w:eastAsia="Times New Roman" w:hAnsi="Times New Roman"/>
          <w:sz w:val="18"/>
          <w:szCs w:val="18"/>
          <w:i w:val="1"/>
          <w:iCs w:val="1"/>
          <w:color w:val="auto"/>
        </w:rPr>
        <w:t>Ac-RADmAb®)</w:t>
      </w:r>
    </w:p>
    <w:p>
      <w:pPr>
        <w:spacing w:after="0" w:line="1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 single patent family patent directed to the composition of matter of TLX592, its radiolabeled forms and uses in imaging and therapy. The patent family includes one pending U.S. non-provisional patent application and 16 pending foreign patent applications in Canada, Chile, China, India, Japan, Korea, Mexico, Australia, Europe, Eurasia, India, New Zealand, Brazil, Hong Kong, Israel and Singapore. Any patents that may issue in the United States will expire no earlier than 2040, not including any terminal disclaimer, patent term adjustment due to administrative delays by the USPTO or patent term extension under the Drug Price Competition and Patent Term Restoration Act of 1984, commonly referred to as the Hatch-Waxman Act. Any patents that may issue in foreign jurisdictions will likewise expire no earlier than 2040.</w:t>
      </w:r>
    </w:p>
    <w:p>
      <w:pPr>
        <w:spacing w:after="0" w:line="18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TLX592 is currently in early development so regulatory pathway to product approval is not yet confirmed or know, however the customary regulatory exclusivity period is expected to apply.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TLX300-CDx (</w:t>
      </w:r>
      <w:r>
        <w:rPr>
          <w:rFonts w:ascii="Times New Roman" w:cs="Times New Roman" w:eastAsia="Times New Roman" w:hAnsi="Times New Roman"/>
          <w:sz w:val="29"/>
          <w:szCs w:val="29"/>
          <w:i w:val="1"/>
          <w:iCs w:val="1"/>
          <w:color w:val="auto"/>
          <w:vertAlign w:val="superscript"/>
        </w:rPr>
        <w:t>89</w:t>
      </w:r>
      <w:r>
        <w:rPr>
          <w:rFonts w:ascii="Times New Roman" w:cs="Times New Roman" w:eastAsia="Times New Roman" w:hAnsi="Times New Roman"/>
          <w:sz w:val="18"/>
          <w:szCs w:val="18"/>
          <w:i w:val="1"/>
          <w:iCs w:val="1"/>
          <w:color w:val="auto"/>
        </w:rPr>
        <w:t>Zr-girentuximab) and TLX300.</w:t>
      </w:r>
    </w:p>
    <w:p>
      <w:pPr>
        <w:spacing w:after="0" w:line="11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have four pending international applications filed under the PCT directed to radiolabeled forms of olaratumab and their use in imaging and therapy. Any patents that may issue in the United States will expire no earlier than 2043, not including any terminal disclaimer, patent term adjustment due to administrative delays by the USPTO or patent term extension under the Drug Price Competition and Patent Term Restoration Act of 1984, commonly referred to as the Hatch-Waxman Act. Any patents that may issue in foreign jurisdictions will likewise expire no earlier than 2043.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TLX66-CDx (</w:t>
      </w:r>
      <w:r>
        <w:rPr>
          <w:rFonts w:ascii="Times New Roman" w:cs="Times New Roman" w:eastAsia="Times New Roman" w:hAnsi="Times New Roman"/>
          <w:sz w:val="29"/>
          <w:szCs w:val="29"/>
          <w:i w:val="1"/>
          <w:iCs w:val="1"/>
          <w:color w:val="auto"/>
          <w:vertAlign w:val="superscript"/>
        </w:rPr>
        <w:t>99m</w:t>
      </w:r>
      <w:r>
        <w:rPr>
          <w:rFonts w:ascii="Times New Roman" w:cs="Times New Roman" w:eastAsia="Times New Roman" w:hAnsi="Times New Roman"/>
          <w:sz w:val="18"/>
          <w:szCs w:val="18"/>
          <w:i w:val="1"/>
          <w:iCs w:val="1"/>
          <w:color w:val="auto"/>
        </w:rPr>
        <w:t>Tc-besilesomab, Scintimun) and TLX66 (</w:t>
      </w:r>
      <w:r>
        <w:rPr>
          <w:rFonts w:ascii="Times New Roman" w:cs="Times New Roman" w:eastAsia="Times New Roman" w:hAnsi="Times New Roman"/>
          <w:sz w:val="29"/>
          <w:szCs w:val="29"/>
          <w:i w:val="1"/>
          <w:iCs w:val="1"/>
          <w:color w:val="auto"/>
          <w:vertAlign w:val="superscript"/>
        </w:rPr>
        <w:t>90</w:t>
      </w:r>
      <w:r>
        <w:rPr>
          <w:rFonts w:ascii="Times New Roman" w:cs="Times New Roman" w:eastAsia="Times New Roman" w:hAnsi="Times New Roman"/>
          <w:sz w:val="18"/>
          <w:szCs w:val="18"/>
          <w:i w:val="1"/>
          <w:iCs w:val="1"/>
          <w:color w:val="auto"/>
        </w:rPr>
        <w:t>Y-besilesomab)</w:t>
      </w:r>
    </w:p>
    <w:p>
      <w:pPr>
        <w:spacing w:after="0" w:line="11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one patent family directed to the use of TLX66 in the treatment of multiple myeloma. The patent family includes one U.S.-issued patent and foreign-issued patents in Canada, Australia, and Europe (validated in Belgium, Germany, Spain, France, the United Kingdom and Italy). The U.S. patent has a maximum expiry date of 2031, not including any patent term extension under the Hatch-Waxman Act. The other patents will expire no earlier than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second patent family is directed to the use of TLX66 for treating AL-amyloidosis and for specific bone-marrow conditioning. We have one pending U.S.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non-provisional patent application and pending applications in China, Japan and Canada.</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second family includes a granted patent in Europe which has been validated under the unitary patent system (which covers seventeen European countries and includes coverage of Belgium, Germany, France, and Italy) and has also been validated in Switzerland, Spain, and the United Kingdom. There are also foreign-issued patents in Australia and South Africa.</w:t>
      </w:r>
    </w:p>
    <w:p>
      <w:pPr>
        <w:spacing w:after="0" w:line="176"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Any patents in the United States that may issue in the second family will expire no earlier than 2038, not including any terminal disclaimer, patent term adjustment, or patent term extensions under the Hatch-Waxman Act. Any patents issued in foreign jurisdictions will likewise expire no earlier than 2038.</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patent families directed to the use of TLX66-CDx (Scintimun).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Lightpoint Medical</w:t>
      </w:r>
    </w:p>
    <w:p>
      <w:pPr>
        <w:spacing w:after="0" w:line="22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connection with our acquisition of Lightpoint’s radio-guided surgery business, we acquired a patent portfolio relating to surgical applications of radiopharmaceuticals including the SENSEI probe. The patent portfolio comprises five U.S.-issued patents, 25 foreign-issued patents in Australia, China, Belgium, Luxembourg, Switzerland, Germany, Italy, France, the Netherlands, Spain and the United Kingdom, three pending non-provisional U.S. applications, and one pending foreign application in Europe. Any patents issued or that may issue based on the pending applications in the United States will expire no earlier than 2033, not including any terminal disclaimer or patent term adjustment due to administrative delays by the USPTO. Any patents issued in foreign jurisdictions will likewise expire no earlier than 2033.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TLX090 (</w:t>
      </w:r>
      <w:r>
        <w:rPr>
          <w:rFonts w:ascii="Times New Roman" w:cs="Times New Roman" w:eastAsia="Times New Roman" w:hAnsi="Times New Roman"/>
          <w:sz w:val="29"/>
          <w:szCs w:val="29"/>
          <w:i w:val="1"/>
          <w:iCs w:val="1"/>
          <w:color w:val="auto"/>
          <w:vertAlign w:val="superscript"/>
        </w:rPr>
        <w:t>153</w:t>
      </w:r>
      <w:r>
        <w:rPr>
          <w:rFonts w:ascii="Times New Roman" w:cs="Times New Roman" w:eastAsia="Times New Roman" w:hAnsi="Times New Roman"/>
          <w:sz w:val="18"/>
          <w:szCs w:val="18"/>
          <w:i w:val="1"/>
          <w:iCs w:val="1"/>
          <w:color w:val="auto"/>
        </w:rPr>
        <w:t>Sm-DOTMP)</w:t>
      </w:r>
    </w:p>
    <w:p>
      <w:pPr>
        <w:spacing w:after="0" w:line="11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have in-licensed three patent families from IGL Pharma, Inc in connection with our acquisition of QSAM Biosciences, Inc., which are directed to methods of manufacturing TLX090, kits comprising TLX090, and its use in treatment.</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portfolio includes four U.S.-issued patents, 39 foreign-issued patents in Canada, Germany, France, Great Britain, Hungary, Ireland, Iceland, Italy, Luxembourg, the Netherlands, Norway, Austria, Belgium, Bulgaria, the Czech Republic, Denmark, Finland, Poland, Portugal, Slovakia, Slovenia, Sweden, Switzerland, Turkey and Japan, two pending non-provisional U.S. patent applications and three pending foreign patent applications in Japan and Europe. Any patents issued or that may issue based on the pending applications in the United States will expire no earlier than 2035, not including any terminal disclaimer or patent term adjustment due to administrative delays by the USPTO. Any patents issued in foreign jurisdictions will likewise expire no earlier than 2035.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Advanced Nuclear Medicine Ingredients SA</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December 2018, we acquired Advanced Nuclear Medicine Ingredients, or ANMI, including the pre-cursor kit that was ultimately developed to become Illuccix. We paid A$2.7 million in cash and issued 6,090,805 ordinary shares, based on a share price of A$0.637 per share, in connection with the closing of the acquisition.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obligated to make deferred earn-out payments to former shareholders of ANMI on an annual basis equal to a percentage in the low teens of net sales of Illuccix in the United States and equal to a percentage in the low twenties of net sales of Illuccix outside the United States, in each case until April 13, 2027, which is five years following the first commercial sale of Illuccix in the United States. We hold an option to buy out the remaining deferred payments by paying €10 million within 90 days of April 13, 2025.</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Heidelberg License Agreement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January 16, 2017, we entered into a license agreement, or, as amended, the Heidelberg License, with Wilex AG (now Heidelberg Pharma AG, or Heidelberg), pursuant to which Heidelberg granted us an exclusive, royalty-bearing license under certain patents and know-how to develop, manufacture and commercialize the CAIX-targeting girentuximab antibody, or girentuximab, radio-labeled with an isotope in both diagnostic and therapeutic products. We paid Heidelberg US$250,000 in connection with the execution of the Heidelberg License and initial technology transfer. In addition, from 2018 to 2022, we have paid Heidelberg US$1.25 million for achievement of certain manufacturing and regulatory milestones for IND approval and enrollment of the last patient in a Phase 3 clinical trial. Under the agreement, we are obligated to pay milestone payments to Heidelberg of US$2.4 million in the aggregate with payment owed upon FDA approval for a BLA for a diagnostic product and upon first reimbursements for first indication of a diagnostic product. Under the Heidelberg License, Heidelberg retained the right to develop and commercialize products that contain girentuximab that are not radio-labeled. In the event we intend to file a BLA for a therapeutic product that includes girentuximab, we are obligated to notify Heidelberg and may be required to pay up to US$3.0 million to extinguish any of Heidelberg’s retained rights that have been granted to a third party for co-promotion of girentuximab in the United States. In the event of commercial launch of a diagnostic product, we are obligated to pay Heidelberg royalties in the low twenties on net sales of such product by us or a sublicensee during the first ten years of such sales and mid single-digit royalties on net sales of such product during the second ten years of such sales. In the event of commercial launch of a therapeutic product, we are obligated to pay Heidelberg low single-digit royalties on net sales of such product during the first ten years of such sales. Our obligation to pay royalties on net sales of diagnostic products expires 20 years after first commercial sale of each diagnostic product and our obligation to pay royalties on therapeutic products expires ten years after first commercial sale of each therapeutic product. We are obligated to use commercially reasonable efforts to develop products for regulatory approval worldwide subject to certain excepted countries for therapeutic products. The Heidelberg License expires when we cease selling products subject to the license granted thereunder, subject to customary termination provisions regarding material breach by or bankruptcy of either party. In addition, we can terminate the agreement upon 180 days’ written notice for any reason. In the event of termination of the agreement for Heidelberg’s material breach or bankruptcy, we have the option to purchase intellectual property relating to the products for nominal consideration.</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March 1, 2024, Heidelberg assigned its rights and obligations under the Heidelberg License to HDP G250, AG &amp; Co. KG, a wholly owned subsidiary of Heidelberg. In connection with the assignment, the subsidiary agreed to perform all obligations of Heidelberg under the Heidelberg License. On March 4, 2024, Heidelberg announced that it entered into a royalty financing agreement with HealthCare Royalty Partners relating to royalty payments that Heidelberg is entitled to receive from us under the Heidelberg License.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Olaratumab License Agreement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April 2022, we entered into a license agreement, or the Lilly License, with Eli Lilly Kinsale Limited, pursuant to which Lilly granted us an exclusive, royalty-bearing license under certain patents and know-how directed to its proprietary antibody, olaratumab, to develop, manufacture and commercialize radio-labeled forms of olaratumab for the diagnosis and treatment of human cancers. Under the Lilly License, we are obligated to use commercially reasonable efforts to develop, obtain regulatory approval for and commercialize radio-labeled forms of olaratumab in several major markets. As consideration for the Lilly License, we paid Lilly an upfront payment of US$5.0 million and are obligated to pay up to a total of US$225.0 million upon satisfaction of specified clinical, regulatory and commercial milestones. In the event of launch of a commercial product, we are also obligated to pay Lilly royalties in the low teens based on net sales of products, with the royalty term being, on a product-by-product and country-by-country basis, the latest of (i) the 12th anniversary of the first commercial sale of such product in such country, (ii) the first day on which there is not at least one of Lilly’s patents covering such product in such country, or (iii) the expiration of the last-to-expire data exclusivity period for such product in such country, which we refer to as the Telix Royalty Term. The royalties may also be subject to reductions during the Telix Royalty Term in the event the product is not covered by a valid claim of a licensed patent or in the event we are required to obtain a license from a third party to commercialize the product. In addition to the foregoing royalties on net sales of products, we are obligated to pay Lilly a percentage of any sublicense revenue received pursuant to any sublicense or similar agreement. The Lilly License defines sublicense revenue to include amounts paid for milestones similar to the milestones specified in the Lilly License, but solely to the extent such amounts are above the amount paid to Lilly under the Lilly License, and further defines sublicense revenue to exclude royalties calculated on the basis of sales of the product for which royalties are already due under the Lilly License, reimbursement for patent costs, certain profit sharing payments and any equity or debt investment at fair market value. The Lilly License further specifies that the royalty owed on such sublicense revenue varies based on the date we enter into such sublicense or similar agreement, ranging from mid-teens if entered into within one (1) year of the effective date of the Lilly License down to mid-single digits if entered into following the third (3rd) anniversary of the effective date of the Lilly License.</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Lilly License, we also granted Lilly an option to enter into an exclusive license under certain patents and know-how to develop, commercialize and otherwise exploit a companion diagnostic for use with olaratumab, or the companion diagnostic option. To exercise the companion diagnostic option, Lilly is obligated to pay us an option exercise fee of US$5.0 million and would be obligated to pay up to a total of US$30.0 million upon satisfaction of specified regulatory milestones. In the event of launch of a companion diagnostic, Lilly would pay us low single digit royalties on net sales of its products incorporating olaratumab, or Lilly Products, for the labeled use for the treatment of human cancer and mid-single digit royalties on net sales of companion diagnostics, with the royalty term being, on a product-by-product and country-by-country basis, the latest of (i) the 12th anniversary of the first commercial sale of such Lilly Product or companion diagnostic in such country, (ii) the first day on which there is not at least one of our patents covering such Lilly Product or companion diagnostic in such country, or (iii) the expiration of the last-to-expire data exclusivity period for such Lilly Product or companion diagnostic in such country, or the Lilly Royalty Term. The royalties may also be subject to reductions during the Lilly Royalty Term in the event the Lilly Product or companion diagnostic is not covered by a valid claim of a licensed patent or in the event Lilly is required to obtain a license from a third party to commercialize the product.</w:t>
      </w:r>
    </w:p>
    <w:p>
      <w:pPr>
        <w:sectPr>
          <w:pgSz w:w="11900" w:h="16838" w:orient="portrait"/>
          <w:cols w:equalWidth="0" w:num="1">
            <w:col w:w="11240"/>
          </w:cols>
          <w:pgMar w:left="320" w:top="115"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Lilly License continues until the expiration of the last-to-expire Telix Royalty Term or, if Lilly exercises the companion diagnostic option, the Lilly Royalty Term, subject to customary termination provisions regarding material breach by or bankruptcy of either party. Each party, in its capacity as the licensee, may terminate the agreement with respect to the licenses granted to it upon 30 days’ written notice to the other party. Lilly may terminate the agreement if a patient has not been enrolled in a Phase 1 or Phase 2 clinical trial using the companion diagnostic by April 8, 2025. If Lilly exercises the companion diagnostic option, we may terminate the agreement if no patient has qualified for enrollment into a registrational study of the Lilly Product for use by patients that have been screened using the companion diagnostic within two years of the date that Lilly exercised the companion diagnostic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Lightpoint Medical Share Sale Agreement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2023, we entered into a share sale agreement to acquire the SENSEI business from Lightpoint. We completed the acquisition of Lightpoint on November 1, 2023. The acquisition was implemented through the purchase of Lightpoint Medical Limited’s wholly owned subsidiary, Lightpoint Surgical Limited, as the then owner of Lightpoint’s business, assets and operation. We paid upfront consideration of US$20.0 million, of which we paid US$19.6 million through the issuance of 3,298,073 ordinary shares at a price of A$9.3659 per share. We are obligated to pay an additional US$15.0 million via an earn-out in the form of performance rights, which may be settled in cash or ordinary shares, at our option, upon achievement of regulatory, commercial and operational milestones relating to the ongoing development and commercialization of SENSEI.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License and Commercial Partnership with Grand Pharma</w:t>
      </w:r>
    </w:p>
    <w:p>
      <w:pPr>
        <w:spacing w:after="0" w:line="22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In November 2020, we entered into a strategic partnership with Grand Pharma, pursuant to which we appointed Grand Pharma as our partner with exclusive development and commercialization rights to our portfolio of imaging and therapeutic products and product candidates in Mainland China, Taiwan, Hong Kong and Macau, or the Grand Pharma Territory. As part of the strategic partnership, we entered into an Imaging Products Commercialization Agreement and a Therapeutic Products License Agreement with Grand Pharma.</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Pursuant to the Imaging Products Commercialization Agreement, we appointed Grand Pharma as our exclusive commercial partner in the Grand Pharma Territory for Illuccix and TLX250-CDx. The Imaging Products Commercialization Agreement includes minimum annual purchase obligations of Grand Pharma following marketing authorization in applicable regions in the Grand Pharma Territory in order to maintain exclusivity in the Grand Pharma Territory.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currently no approved imaging products in the Grand Pharma Territory under the Imaging Products Commercialization Agreement.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Imaging Products Commercialization Agreement has a 15-year term for each product beginning on the date of marketing authorization in China and the agreement will automatically renew for five-year renewal terms unless either party gives a written notice of nonrenewal. Either party may terminate the Imaging Products Commercialization Agreement upon material breach or insolvency by the other party.</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Pursuant to the Therapeutic Products License Agreement, Grand Pharma is responsible, at its own cost, for conducting any clinical trials of therapeutic products in the Grand Pharma Territory in accordance with the agreed development plan. Pursuant to the Therapeutic Products License Agreement, we are eligible to receive payments of up to US$69.0 million upon achievement of regulatory milestones with respect to therapeutic products by Grand Pharma and up to US$156.0 million upon achievement of commercial milestones with respect to therapeutic products by Grand Pharma. We are also eligible to receive single-digit percentage royalties on net sales of therapeutics products in the Grand Pharma Territory for ten years after marketing authorization is granted in the Grand Pharma Territory. There are currently no approved therapeutic products in the Grand Pharma Territory and we have not received any milestone payments from Grand Pharma under the Therapeutic Products License Agreement.</w:t>
      </w: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received an upfront, non-refundable cash payment of US$25.0 million upon execution of the Therapeutic Products License Agreement. This upfront payment will be credited against any regulatory or commercial milestone payments owed to us by Grand Pharma.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Therapeutic Products License Agreement has a ten-year term ending after the date that marketing authorization is granted in respect of each product.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party may terminate the Therapeutic Products License Agreement upon material breach or insolvency by the other party.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and Plan of Merger with IsoTherapeutics Group, LLC</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February 27, 2024, we entered into an agreement and plan of merger, or the IsoTherapeutics Agreement, to acquire IsoTherapeutics Group, LLC, or IsoTherapeutics, a specialty radiopharmaceutical development and bioconjugation firm, based in Texas. IsoTherapeutics provides radiochemistry and bioconjugation development and contract manufacturing services to many companies in the radiopharmaceutical industry. We completed the acquisition of IsoTherapeutics on April 9, 2024.</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expect that the acquisition will further enhance our internal drug development capabilities. A key driver for the acquisition is to enable us to internalize select aspects of our development programs, with the goal of reducing cost and time to achieve technical milestones. The acquisition expanded our U.S. manufacturing footprint with a site that includes a GMP clean room and production infrastructure suitable for clinical use. The site also has extensive capacity to process a wide variety of therapeutic isotopes used in our development portfolio.</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IsoTherapeutics will continue to provide development and manufacturing services to its existing customer base and may continue to provide services to our strategic partners and collaborators. We aim to realize cost savings from internalizing radiochemistry-related R&amp;D activities.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purchase price for the acquisition consists of (i) US$8.1 million paid at closing in the form of US$2.1 million in cash and US$6.0 million in our ordinary shares which we paid in the form of 717,587 of our ordinary shares issued at closing, (ii) US$5.0 million in performance-related milestone payments, which are payable in cash and are subject to meeting certain milestone conditions within 12 months of closing, and (iii) a two-year revenue share that is based on actual revenue earned from existing customers of IsoTherapeutics, which we estimate will require total cash payments of approximately US$0.6 million. The upfront cash consideration was subject to customary working capital, debt and transaction expense adjustments. The number of shares issued at closing was determined by converting US$6.0 million to Australian dollars using the Reserve Bank of Australia exchange rate at closing and dividing that amount by the volume weighted average price at which our ordinary shares traded on the ASX over the 10-trading day period prior to closing. The shares issued at closing are subject to voluntary escrow restrictions.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Purchase Agreement with ARTMS Inc.</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March 5, 2024, we entered into a share purchase agreement, or the ARTMS Agreement, to acquire ARTMS Inc., or ARTMS, a radioisotope production technology company based in Canada, and its advanced cyclotron-based isotope production platform, manufacturing plant and stockpile of ultra-pure rare metals required for consumable target production. We completed the acquisition of ARTMS on April 11, 2024. ARTMS is a commercial-stage company that specializes in the physics, chemistry and materials science of cyclotron-produced radionuclides and its technology is used by major manufacturing networks to optimize production of a range of medical radioisotopes. We expect that the acquisition will further enhance the vertical integration of our supply chain and manufacturing by providing a greater level of control and security over each of our diagnostic isotopes.</w:t>
      </w:r>
    </w:p>
    <w:p>
      <w:pPr>
        <w:spacing w:after="0" w:line="18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ARTMS’ core technology platform is based on the QUANTM Irradiation System, or QIS, a complete cyclotron-based isotope production system that is designed to support high efficiency and cost-effective production of commercially important medical isotopes including zirconium-89, gallium-68, technetium-99m and copper-64. We also expect that its advanced cyclotron technologies will have immediate application and differentiation in the production of future commercially important alpha-emitting, therapeutic isotopes, including actinium-225 and astatine-211.</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that QIS may be able to produce zirconium-89 that is ready for radiopharmaceutical use with TLX250-CDx by irradiating yttrium-89. ARTMS also holds a stockpile of zinc-68, which is used to produce gallium-68 that could be used with Illuccix. Following closing of the acquisition, we intend to work with pharmacy networks and partners to enhance the reliability and routine production of commercially useful cyclotron-produced diagnostic radionuclides such as copper-64 and technetium-99. In particular, ARTMS has a stockpile of nickel-65, an essential raw material for copper-64 production, and which is in limited global supply. As part of the acquisition, we also acquired ARTMS’ production facility and clean rooms, located in Burnaby, British Columbia. We plan to continue to operate and expand ARTMS’ R&amp;D and production capabilities at the Burnaby location to support our in-house and customer needs, subject to applicable laws and transaction terms.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purchase price for the acquisition consists of: (i) US$57.5 million upfront consideration, US$15.0 million of which we paid in cash and the balance of which we paid in the form of 5,674,635 of our ordinary shares issued at closing, (ii) US$24.5 million in contingent future earn out payments, payable in cash following achievement of certain regulatory and commercial milestones, and (iii) cash earnouts representing low teens percentage royalties based on net sales of ARTMS products and related services and representing low single-digit percentage royalties based on net sales of Telix products prepared using ARTMS products for up to three years depending on the product location where the sale occurs. All earn-out royalties which have not otherwise expired will terminate on the 10-year anniversary following closing of the ARTMS acquisition. The cash upfront consideration was subject to customary working capital, debt and transaction expense adjustments. The shares issued at closing are subject to voluntary escrow restrictions.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and Plan of Merger with QSAM Biosciences, Inc.</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February 7, 2024, we entered into an Agreement and Plan of Merger, or the QSAM Agreement, with QSAM Biosciences, Inc., or QSAM, and we completed the acquisition of QSAM on May 3, 2024.</w:t>
      </w:r>
    </w:p>
    <w:p>
      <w:pPr>
        <w:spacing w:after="0" w:line="162" w:lineRule="exact"/>
        <w:rPr>
          <w:sz w:val="20"/>
          <w:szCs w:val="20"/>
          <w:color w:val="auto"/>
        </w:rPr>
      </w:pPr>
    </w:p>
    <w:p>
      <w:pPr>
        <w:ind w:right="300"/>
        <w:spacing w:after="0" w:line="204" w:lineRule="auto"/>
        <w:rPr>
          <w:sz w:val="20"/>
          <w:szCs w:val="20"/>
          <w:color w:val="auto"/>
        </w:rPr>
      </w:pPr>
      <w:r>
        <w:rPr>
          <w:rFonts w:ascii="Times New Roman" w:cs="Times New Roman" w:eastAsia="Times New Roman" w:hAnsi="Times New Roman"/>
          <w:sz w:val="18"/>
          <w:szCs w:val="18"/>
          <w:color w:val="auto"/>
        </w:rPr>
        <w:t xml:space="preserve">QSAM is developing therapeutic radiopharmaceuticals for primary and metastatic bone cancer. Its lead product candidate is Samarium-153-DOTMP, or </w:t>
      </w:r>
      <w:r>
        <w:rPr>
          <w:rFonts w:ascii="Times New Roman" w:cs="Times New Roman" w:eastAsia="Times New Roman" w:hAnsi="Times New Roman"/>
          <w:sz w:val="29"/>
          <w:szCs w:val="29"/>
          <w:color w:val="auto"/>
          <w:vertAlign w:val="superscript"/>
        </w:rPr>
        <w:t>153</w:t>
      </w:r>
      <w:r>
        <w:rPr>
          <w:rFonts w:ascii="Times New Roman" w:cs="Times New Roman" w:eastAsia="Times New Roman" w:hAnsi="Times New Roman"/>
          <w:sz w:val="18"/>
          <w:szCs w:val="18"/>
          <w:color w:val="auto"/>
        </w:rPr>
        <w:t xml:space="preserve">Sm-DOTMP, which is a novel kit-based bone-seeking targeted radiopharmaceutical candidate that uses a next generation chelating agent to deliver a proprietary formulation of Samarium-153 radioisotope. </w:t>
      </w:r>
      <w:r>
        <w:rPr>
          <w:rFonts w:ascii="Times New Roman" w:cs="Times New Roman" w:eastAsia="Times New Roman" w:hAnsi="Times New Roman"/>
          <w:sz w:val="29"/>
          <w:szCs w:val="29"/>
          <w:color w:val="auto"/>
          <w:vertAlign w:val="superscript"/>
        </w:rPr>
        <w:t>153</w:t>
      </w:r>
      <w:r>
        <w:rPr>
          <w:rFonts w:ascii="Times New Roman" w:cs="Times New Roman" w:eastAsia="Times New Roman" w:hAnsi="Times New Roman"/>
          <w:sz w:val="18"/>
          <w:szCs w:val="18"/>
          <w:color w:val="auto"/>
        </w:rPr>
        <w:t>Sm-DOTMP, which we have designated as TLX090, has two potential applications – pain management of bone metastases and osteosarcoma therapy, including in pediatric patients. We believe that TLX090 is highly aligned with our existing therapeutic focus areas of prostate cancer, glioma and sarcoma.</w:t>
      </w:r>
    </w:p>
    <w:p>
      <w:pPr>
        <w:spacing w:after="0" w:line="20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TLX090 has shown evidence of safety, efficacy and future commercial utility in pre-clinical studies and early clinical trials. We believe that it has the potential to deliver significant improvements on prior bone-seeking agents in the treatment and management of late-stage metastatic disease. TLX090 may enable the pain management of prostate cancer bone metastases, where there remains a significant unmet patient need particularly after progression from other forms of radionuclide and radiation therapy. We also believe that TLX090 may benefit patients with metastatic lung and breast cancer, where many patients develop brain and bone metastases, and disease management often focuses on quality-of-life palliative care.</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TLX090 has also been granted orphan drug and rare pediatric disease designations by the FDA for the treatment of osteosarcoma. The rare pediatric disease designation may enable TLX090 to be brought to market more rapidly through regulatory incentives, including eligibility for a pediatric rare disease priority review voucher that may be applied to this or other programs. The orphan drug designation and the rare pediatric disease designation do not increase the likelihood of marketing approval.</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total consideration, calculated based on the announced purchase price, for the acquisition consists of: (i) US$33.1 million upfront consideration, US$27.8 million of which was paid in closing consideration through the issuance of 3,671,120 ordinary shares, and the balance of which was paid in certain cash adjustments or through the issuance of approximately 409,026 of our ordinary shares in change of control fees, transaction bonuses and holdback shares reserved for settlement of purchase price adjustments and (ii) up to US$90.0 million in contingent future earn-out payments, in cash and/or ordinary shares, without interest, upon the achievement of certain regulatory and commercial milestones, at the times and subject to the terms and conditions of the contingent value rights agreement. The ordinary shares issued upon closing are subject to voluntary escrow conditions. The ordinary shares issued as part of the upfront purchase price were issued pursuant to an exemption from registration under the Securities Act, in reliance on Section 4(a)(2) and Regulation D thereunder, as a transaction by an issuer not involving a public offering.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2" w:name="page143"/>
    <w:bookmarkEnd w:id="142"/>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 with RLS (USA) Inc.</w:t>
      </w:r>
    </w:p>
    <w:p>
      <w:pPr>
        <w:spacing w:after="0" w:line="229" w:lineRule="exact"/>
        <w:rPr>
          <w:sz w:val="20"/>
          <w:szCs w:val="20"/>
          <w:color w:val="auto"/>
        </w:rPr>
      </w:pPr>
    </w:p>
    <w:p>
      <w:pPr>
        <w:ind w:left="20" w:right="160"/>
        <w:spacing w:after="0" w:line="258" w:lineRule="auto"/>
        <w:rPr>
          <w:sz w:val="20"/>
          <w:szCs w:val="20"/>
          <w:color w:val="auto"/>
        </w:rPr>
      </w:pPr>
      <w:r>
        <w:rPr>
          <w:rFonts w:ascii="Times New Roman" w:cs="Times New Roman" w:eastAsia="Times New Roman" w:hAnsi="Times New Roman"/>
          <w:sz w:val="18"/>
          <w:szCs w:val="18"/>
          <w:color w:val="auto"/>
        </w:rPr>
        <w:t>On September 20, 2024, we entered into a stock purchase agreement, or the RLS Agreement, to acquire RLS, which we closed in January 2025. The purchase price for the acquisition consists of: (i) US$230.0 million upfront consideration, payable in cash at closing of the acquisition, which amount will be adjusted for transaction expenses, cash and cash equivalents (net of restricted cash), debt and debt equivalents and working capital, and (ii) milestone payments of up to US$20.0 million in the aggregate, payable in cash upon the achievement of certain commercial milestones. The purchase price and related transaction costs incurred prior to closing were funded from existing cash reserves.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RLS is a U.S.-based radiopharmacy company distributing PET, SPECT and therapeutic radiopharmaceuticals. Its network includes 32 licensed radiopharmacies located in major metropolitan areas in 18 states across the United States. The RLS footprint includes over 100,000 square feet of licensed expansion space that we believe can be utilized to meet rapidly growing production demand. RLS has approximately 1,500 customers and currently is one of the distributors of Illuccix in the United States.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acquisition significantly expands our North American manufacturing footprint and establishes the basis of a next generation radiometal production network. By augmenting our existing distribution network with RLS’ capabilities, we aim to provide additional supply chain back-up and improve capacity to meet future demand, while broadening access for patients across the entire U.S. market, including under-served populations. We believe the acquisition of RLS is highly aligned with our investment strategy to strengthen our vertically integrated supply chain and manufacturing and distribution capabilities. We expect the acquisition to provide a pathway for deploying ARTMS’ QIS technology by enabling us to scale up the production of key isotopes and build a stable and consistent supply of PET and SPECT diagnostic tracers, along with therapeutic radiopharmaceuticals across the United States.</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RLS will continue to service its existing customer base and will operate as part of our Manufacturing Services business, which includes ARTMS, IsoTherapeutics, Optimal Tracers and our manufacturing facility in Brussels South, Belgium. We expect that RLS will become a key node in our network of U.S. manufacturing and distribution partnerships and is geographically complementary to our manufacturing facility in Belgium.</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 purchase and in-license agreements for FAP-targeting theranostics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November 19, 2024, we entered into an asset purchase agreement with Medianezia GmbH, a company based in Wiesbaden, Germany, and a separate exclusive, worldwide license and commercialization agreement with SCV GmbH, a company based in Berlin, Germany, which we refer to collectively as the Medianezia/SCV Transaction. The asset purchase is subject to completion of customary closing conditions. The technology to be acquired and licensed in the Medianezia/SCV Transaction is comprised of FAP-targeting small molecules, patents and patent applications covering such molecules and their uses, and the related know-how for potential use in diagnostic and therapeutic applications relating to cancer and other diseases. FAP is a cell surface protein expressed in the tumor microenvironment of epithelial cancers and on the surface of some specific cancer types, making FAP an attractive pan-cancer marker for therapeutic and diagnostic radiopharmaceutical applications.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the Medianezia/SCV Transaction, we paid a total of €0.7 million in cash in connection to the signing of the agreements with a further €6.3 million due at closing and will pay a further €3.0 million 12 months from closing, subject to any potential indemnity setoff. We are also obligated to pay up to €132.0 million in contingent future earn-out payments upon achievement of certain clinical development and regulatory milestones related to both the diagnostic and therapeutic products under both agreements and up to €20.0 million in contingent future earn-out payments upon achievement of certain commercial milestones related to the diagnostic product under the license agreement, as well as low- to mid- single-digit royalties on net sales of the diagnostic product and an earlier formulation of the therapeutic product, if used.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ImaginAb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13, 2025, we entered into an asset purchase agreement with ImaginAb, or the ImaginAb Transaction, to acquire a significant portion of the intellectual property and technology assets of ImaginAb. The acquisition closed on January 30, 2025. Upon closing of the ImaginAb Transaction, we acquired patents, know-how and other intellectual property comprising a proprietary drug discovery platform, a pipeline of early-stage drug candidates against high-value targets including DLL3 and integrin αvβ6, and several other novel targets in discovery stage. The acquired intellectual property utilizes small engineered antibody formats that enable highly specific cancer targeting, combined with fast tumor uptake and blood clearance. We believe this technology has the potential to be highly effective for imaging and treating tumors with a broad range of radioisotopes, with alpha emitters of particular interest.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closing of the ImaginAb Transaction, we also assumed the lease for a state-of-the-art research facility in Inglewood, California, and hired members of ImaginAb’s talented team of discovery, protein engineering and radiopharmaceutical development experts. We expect that these assets will provide us with further in-house capabilities in antibody engineering and preclinical development, as well as a novel biologics platform to create the next generation of Telix precision medicine and therapeutic products, beyond the current clinical-stage pipeline.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ImaginAb Transaction was conducted through an asset purchase agreement with a concurrent technology license agreement, the latter of which provided us additional exclusive and non-exclusive rights to certain patents and know-how being retained by ImaginAb. The purchase price for the ImaginAb Transaction was US$45 million, comprised of US$10 million in cash and US$31 million in equity issued at closing, and a deferred payment of up to US$4 million in equity at the conclusion of a 15-month non-fundamental indemnity period, which is subject to set-off in the instance we have substantiated claims against ImaginAb.</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achievement of specific key development and commercial milestones, we will pay ImaginAb up to a total of US$185 million, up to US$60 million of which may be paid in cash or equity at our election subject to ASX Listing Rules. Royalties are also payable on net sales in the low single digits on a limited number of platform and early-stage products after the first four products have been developed, as well as single-digit sublicense fees, as applicable.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Upfront equity consideration is subject to voluntary escrow (lock-up/leak-out) restrictions with equal tranches being released from escrow 60, 90 and 120 days after closing. The ImaginAb Transaction agreements contain comprehensive fundamental and non-fundamental representations, indemnity protections, and specific non-compete and non-solicitation restrictions for ImaginAb, among other standard terms for such agreements.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or EU, extensively regulate, among other things, the research, development, testing, manufacture, quality control, approval, packaging, storage, recordkeeping, labeling, advertising, promotion, distribution, marketing, sales, pricing, reimbursement, post-approval monitoring and reporting, and import</w:t>
      </w:r>
    </w:p>
    <w:p>
      <w:pPr>
        <w:sectPr>
          <w:pgSz w:w="11900" w:h="16886" w:orient="portrait"/>
          <w:cols w:equalWidth="0" w:num="1">
            <w:col w:w="11240"/>
          </w:cols>
          <w:pgMar w:left="320" w:top="115" w:right="339" w:bottom="0" w:gutter="0" w:footer="0" w:header="0"/>
        </w:sectPr>
      </w:pPr>
    </w:p>
    <w:bookmarkStart w:id="143" w:name="page144"/>
    <w:bookmarkEnd w:id="143"/>
    <w:p>
      <w:pPr>
        <w:spacing w:after="0" w:line="261" w:lineRule="auto"/>
        <w:rPr>
          <w:sz w:val="20"/>
          <w:szCs w:val="20"/>
          <w:color w:val="auto"/>
        </w:rPr>
      </w:pPr>
      <w:r>
        <w:rPr>
          <w:rFonts w:ascii="Times New Roman" w:cs="Times New Roman" w:eastAsia="Times New Roman" w:hAnsi="Times New Roman"/>
          <w:sz w:val="18"/>
          <w:szCs w:val="18"/>
          <w:color w:val="auto"/>
        </w:rPr>
        <w:t>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The regulatory requirements applicable to product development, approval and marketing are subject to change, and regulations and administrative guidance often are revised or reinterpreted by government agencies in ways that may have a significant impact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Drugs and Biologics in the United States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the United States, the FDA approves and regulates drugs under the FDCA and related regulations. Biological products are licensed for marketing under the Public Health Service Act, or PHSA, and subject to regulation under the FDCA and related regulations. Pursuant to Section 3621 of the Consolidated Appropriations Act of 2023, which was signed into law on December 29, 2022, contrast agents and radioactive pharmaceuticals are regulated as drugs or biologics.</w:t>
      </w:r>
    </w:p>
    <w:p>
      <w:pPr>
        <w:spacing w:after="0" w:line="3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company, institution, or organization which takes responsibility for the initiation and management of a clinical development program for such products, and for their regulatory approval, is typically referred to as a sponsor. A sponsor seeking approval to market and distribute a new drug or biological product in the United States must typically secure the following:</w:t>
      </w:r>
    </w:p>
    <w:p>
      <w:pPr>
        <w:spacing w:after="0" w:line="176" w:lineRule="exact"/>
        <w:rPr>
          <w:sz w:val="20"/>
          <w:szCs w:val="20"/>
          <w:color w:val="auto"/>
        </w:rPr>
      </w:pPr>
    </w:p>
    <w:p>
      <w:pPr>
        <w:ind w:left="340" w:hanging="238"/>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in compliance with the FDA’s good laboratory practice, or GLP, standards and applicable regulations;</w:t>
      </w:r>
    </w:p>
    <w:p>
      <w:pPr>
        <w:spacing w:after="0" w:line="27" w:lineRule="exact"/>
        <w:rPr>
          <w:rFonts w:ascii="Times New Roman" w:cs="Times New Roman" w:eastAsia="Times New Roman" w:hAnsi="Times New Roman"/>
          <w:sz w:val="18"/>
          <w:szCs w:val="18"/>
          <w:color w:val="auto"/>
        </w:rPr>
      </w:pPr>
    </w:p>
    <w:p>
      <w:pPr>
        <w:ind w:left="340" w:hanging="238"/>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a clinical protocol and submission to the FDA of an IND, which must take effect before human clinical trials may begin;</w:t>
      </w:r>
    </w:p>
    <w:p>
      <w:pPr>
        <w:spacing w:after="0" w:line="9" w:lineRule="exact"/>
        <w:rPr>
          <w:rFonts w:ascii="Times New Roman" w:cs="Times New Roman" w:eastAsia="Times New Roman" w:hAnsi="Times New Roman"/>
          <w:sz w:val="18"/>
          <w:szCs w:val="18"/>
          <w:color w:val="auto"/>
        </w:rPr>
      </w:pPr>
    </w:p>
    <w:p>
      <w:pPr>
        <w:ind w:left="340" w:hanging="238"/>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IRB representing each clinical site before each clinical trial may be initiated;</w:t>
      </w:r>
    </w:p>
    <w:p>
      <w:pPr>
        <w:spacing w:after="0" w:line="9" w:lineRule="exact"/>
        <w:rPr>
          <w:rFonts w:ascii="Times New Roman" w:cs="Times New Roman" w:eastAsia="Times New Roman" w:hAnsi="Times New Roman"/>
          <w:sz w:val="18"/>
          <w:szCs w:val="18"/>
          <w:color w:val="auto"/>
        </w:rPr>
      </w:pPr>
    </w:p>
    <w:p>
      <w:pPr>
        <w:ind w:left="340" w:hanging="238"/>
        <w:spacing w:after="0" w:line="250"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GCPs to establish the safety and efficacy of the proposed drug product for each proposed indication or with respect to biologics, the safety, purity and potency of the product candidate for each proposed indication;</w:t>
      </w:r>
    </w:p>
    <w:p>
      <w:pPr>
        <w:ind w:left="340" w:hanging="238"/>
        <w:spacing w:after="0" w:line="250"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for a drug candidate product and a BLA for a biological product requesting marketing for one or more proposed indications;</w:t>
      </w:r>
    </w:p>
    <w:p>
      <w:pPr>
        <w:ind w:left="340" w:hanging="238"/>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request for approval by an FDA advisory committee, where appropriate or if applicable;</w:t>
      </w:r>
    </w:p>
    <w:p>
      <w:pPr>
        <w:spacing w:after="0" w:line="9" w:lineRule="exact"/>
        <w:rPr>
          <w:rFonts w:ascii="Times New Roman" w:cs="Times New Roman" w:eastAsia="Times New Roman" w:hAnsi="Times New Roman"/>
          <w:sz w:val="18"/>
          <w:szCs w:val="18"/>
          <w:color w:val="auto"/>
        </w:rPr>
      </w:pPr>
    </w:p>
    <w:p>
      <w:pPr>
        <w:ind w:left="340" w:hanging="238"/>
        <w:spacing w:after="0" w:line="250"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one or more FDA inspections of the manufacturing facility or facilities at which the product, or components thereof, are produced to assess compliance with cGMPs to assure the product’s identity, strength, quality and purity;</w:t>
      </w:r>
    </w:p>
    <w:p>
      <w:pPr>
        <w:ind w:left="340" w:hanging="238"/>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FDA audits of clinical trial sites to assure compliance with GCPs and the integrity of the clinical data;</w:t>
      </w:r>
    </w:p>
    <w:p>
      <w:pPr>
        <w:spacing w:after="0" w:line="9" w:lineRule="exact"/>
        <w:rPr>
          <w:rFonts w:ascii="Times New Roman" w:cs="Times New Roman" w:eastAsia="Times New Roman" w:hAnsi="Times New Roman"/>
          <w:sz w:val="18"/>
          <w:szCs w:val="18"/>
          <w:color w:val="auto"/>
        </w:rPr>
      </w:pPr>
    </w:p>
    <w:p>
      <w:pPr>
        <w:ind w:left="340" w:hanging="238"/>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pursuant to the PDUFA;</w:t>
      </w:r>
    </w:p>
    <w:p>
      <w:pPr>
        <w:spacing w:after="0" w:line="9" w:lineRule="exact"/>
        <w:rPr>
          <w:rFonts w:ascii="Times New Roman" w:cs="Times New Roman" w:eastAsia="Times New Roman" w:hAnsi="Times New Roman"/>
          <w:sz w:val="18"/>
          <w:szCs w:val="18"/>
          <w:color w:val="auto"/>
        </w:rPr>
      </w:pPr>
    </w:p>
    <w:p>
      <w:pPr>
        <w:ind w:left="340" w:hanging="238"/>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FDA approval of the NDA or BLA; and</w:t>
      </w:r>
    </w:p>
    <w:p>
      <w:pPr>
        <w:spacing w:after="0" w:line="9" w:lineRule="exact"/>
        <w:rPr>
          <w:rFonts w:ascii="Times New Roman" w:cs="Times New Roman" w:eastAsia="Times New Roman" w:hAnsi="Times New Roman"/>
          <w:sz w:val="18"/>
          <w:szCs w:val="18"/>
          <w:color w:val="auto"/>
        </w:rPr>
      </w:pPr>
    </w:p>
    <w:p>
      <w:pPr>
        <w:ind w:left="340" w:hanging="238"/>
        <w:spacing w:after="0" w:line="260"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REMS and the potential requirement to conduct post-approval studies.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Before a sponsor begins testing a drug or biologic compound with potential diagnostic or therapeutic value in humans, the product candidate enters the preclinical testing stage. Preclinical studies include laboratory evaluation of the purity and stability of the manufactured substance or active pharmaceutical ingredient and the formulated product,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safety and activity of the product candidate for initial testing in humans and to establish a rationale for therapeutic use. These studies are generally referred to as IND-enabling studies. The conduct of preclinical studies is subject to federal regulations and requirements, including GLP standards and regulations and the United States Department of Agriculture’s Animal Welfare Act, if applicable. With passage of the FDA’s Modernization Act 2.0 in December 2022, Congress eliminated provisions in both the FDCA and the PHSA that required animal testing in support of an NDA or BLA. While animal testing may still be conducted, the FDA was authorized to rely on alternative non-clinical tests, including cell-based assays, micro-physiological systems, or bio-printed or computer models. Some long-term preclinical testing, such as animal tests of reproductive adverse events and carcinogenicity, and long-term toxicity studies, may continue after the IND is submitted.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 and IRB Processes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An IND is a request for FDA authorization to administer a product candidate to humans. Such authorization must be secured prior to interstate shipment and administration of any new drug or biologic that is not the subject of an approved NDA or BLA. In support of a request for an IND, sponsors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are submitted to the FDA as part of an IND. The FDA requires a 30-day waiting period after the filing of each IND before clinical trials may begin. This waiting period is designed to allow the FDA to review the IND to determine whether human research subjects and patients will be exposed to unreasonable health risks. At any time during this 30-day period, or thereafter, the FDA may raise concerns or questions about the conduct of the trials as outlined in the IND and impose a clinical hold or partial clinical hold. In this case, the IND sponsor and the FDA must resolve any outstanding concerns before clinical trials can begin or continue, if the clinical hold is initiated after the study has begun. The FDA’s primary objectives in reviewing an IND are to assure the safety and rights of patients and to help assure that the quality of the investigation will be adequate to permit an evaluation of the drug’s effectiveness and safety and of the biological product’s safety, purity and potency.</w:t>
      </w:r>
    </w:p>
    <w:p>
      <w:pPr>
        <w:spacing w:after="0" w:line="1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 clinical hold is an order issued by the FDA to the sponsor to delay a proposed clinical investigation or to suspend an ongoing investigation. A partial clinical hold is a delay or suspension of only part of the clinical protocol or protocols under the IND. For example, a specific protocol or part of a protocol is not allowed to proceed, while other protocols or parts of the protocols may do so.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demonstrating to the satisfaction of the FDA that the investigation can proceed.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study under an IND. When a foreign clinical study is conducted under an IND, all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in the United States.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trial at least annually. The IRB must review and approve, among other things, the trial protocol and informed consent information to be provided to trial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Additionally, some trials are overseen by an independent group of qualified experts organized by the trial sponsor, known as a data monitoring committee. This group provides authorization for whether a trial may move forward at designated check points based on access that only the group maintains to available data from the trial. Suspension or termination of development during any phase of clinical trials can occur if it is determined that the participants or patients are being exposed to an unacceptable health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Clinical Studies in Support of an NDA or BLA</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trial protocols detailing, among other things, the inclusion and exclusion criteria, the objectives of the trial, the parameters to be used in monitoring safety and the effectiveness criteria to be evaluated.</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clinical investigation of an investigational drug or biological product is generally divided into four phases. Although the phases are usually conducted sequentially, they may overlap or be combined. The four phases of an investigation are as follows:</w:t>
      </w:r>
    </w:p>
    <w:p>
      <w:pPr>
        <w:spacing w:after="0" w:line="162" w:lineRule="exact"/>
        <w:rPr>
          <w:sz w:val="20"/>
          <w:szCs w:val="20"/>
          <w:color w:val="auto"/>
        </w:rPr>
      </w:pPr>
    </w:p>
    <w:p>
      <w:pPr>
        <w:ind w:left="340" w:hanging="238"/>
        <w:spacing w:after="0" w:line="257" w:lineRule="auto"/>
        <w:tabs>
          <w:tab w:leader="none" w:pos="340" w:val="left"/>
        </w:tabs>
        <w:numPr>
          <w:ilvl w:val="0"/>
          <w:numId w:val="8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Phase 1. Phase 1 studies include the initial introduction of an investigational new drug or biological product into humans. These studies are designed to evaluate the safety, dosage tolerance, metabolism and pharmacologic actions of the investigational drug or biological product in humans, the side effects associated with increasing doses, and if possible, to gain early evidence on effectiveness.</w:t>
      </w:r>
    </w:p>
    <w:p>
      <w:pPr>
        <w:spacing w:after="0" w:line="1" w:lineRule="exact"/>
        <w:rPr>
          <w:rFonts w:ascii="Times New Roman" w:cs="Times New Roman" w:eastAsia="Times New Roman" w:hAnsi="Times New Roman"/>
          <w:sz w:val="18"/>
          <w:szCs w:val="18"/>
          <w:color w:val="0A2E94"/>
        </w:rPr>
      </w:pPr>
    </w:p>
    <w:p>
      <w:pPr>
        <w:ind w:left="340" w:right="80" w:hanging="238"/>
        <w:spacing w:after="0" w:line="250" w:lineRule="auto"/>
        <w:tabs>
          <w:tab w:leader="none" w:pos="340" w:val="left"/>
        </w:tabs>
        <w:numPr>
          <w:ilvl w:val="0"/>
          <w:numId w:val="8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Phase 2. Phase 2 includes the controlled clinical trials conducted to preliminarily or further evaluate the effectiveness of the investigational drug or biological product for a particular indication(s) in patients with the disease or condition under trial, to determine dosage tolerance and optimal dosage, and to identify possible adverse side effects and safety risks associated with the drug or biological product. Phase 2 clinical trials are typically well-controlled, closely monitored, and conducted in a limited patient population.</w:t>
      </w:r>
    </w:p>
    <w:p>
      <w:pPr>
        <w:spacing w:after="0" w:line="1" w:lineRule="exact"/>
        <w:rPr>
          <w:rFonts w:ascii="Times New Roman" w:cs="Times New Roman" w:eastAsia="Times New Roman" w:hAnsi="Times New Roman"/>
          <w:sz w:val="18"/>
          <w:szCs w:val="18"/>
          <w:color w:val="0A2E94"/>
        </w:rPr>
      </w:pPr>
    </w:p>
    <w:p>
      <w:pPr>
        <w:ind w:left="340" w:right="620" w:hanging="238"/>
        <w:spacing w:after="0" w:line="250" w:lineRule="auto"/>
        <w:tabs>
          <w:tab w:leader="none" w:pos="340" w:val="left"/>
        </w:tabs>
        <w:numPr>
          <w:ilvl w:val="0"/>
          <w:numId w:val="8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Phase 3. Phase 3 clinical trials are generally controlled clinical trials conducted in an expanded patient population generally at geographically dispersed clinical trial sites. They are performed after preliminary evidence suggesting effectiveness of the drug or biological product has been obtained, and are intended to further evaluate dosage, clinical effectiveness and safety, to establish the overall benefit-risk relationship of the investigational drug or biological product, and to provide an adequate basis for product approval.</w:t>
      </w:r>
    </w:p>
    <w:p>
      <w:pPr>
        <w:spacing w:after="0" w:line="1" w:lineRule="exact"/>
        <w:rPr>
          <w:rFonts w:ascii="Times New Roman" w:cs="Times New Roman" w:eastAsia="Times New Roman" w:hAnsi="Times New Roman"/>
          <w:sz w:val="18"/>
          <w:szCs w:val="18"/>
          <w:color w:val="0A2E94"/>
        </w:rPr>
      </w:pPr>
    </w:p>
    <w:p>
      <w:pPr>
        <w:ind w:left="340" w:right="580" w:hanging="238"/>
        <w:spacing w:after="0" w:line="260" w:lineRule="auto"/>
        <w:tabs>
          <w:tab w:leader="none" w:pos="340" w:val="left"/>
        </w:tabs>
        <w:numPr>
          <w:ilvl w:val="0"/>
          <w:numId w:val="8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Phase 4. Post-approval studies may be conducted after initial marketing approval. These studies are used to gain additional experience from the treatment of patients in the intended therapeutic indication.</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Generally, pivotal trials are Phase 3 trials, but they may be Phase 2 trials if the design provides a well-controlled and reliable assessment of clinical benefit, particularly in an area of unmet medical need.</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2022, the FDA released final guidance entitled “Expansion Cohorts: Use in First-In-Human Clinical Trials to Expedite Development of Oncology Drugs and Biologics,” which outlines how developers can utilize an adaptive trial design commonly referred to as a seamless trial design in early stages of oncology biological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biological product development and reduce developmental costs and time.</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December 2022, with the passage of FDORA, Congress required sponsors to develop and submit a DAP for each Phase 3 clinical trial or any other “pivotal study” of a new drug or biological product. These plans are meant to encourage the enrollment of more diverse patient populations in late-stage clinical trials of FDA-regulated products. Specifically, action plans must include the sponsor’s goals for enrollment, the underlying rationale for those goals, and an explanation of how the sponsor intends to meet them.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 On January 27, 2025, in response to an Executive Order issued by President Trump on January 21, 2025, on Diversity, Equity and Inclusion programs, the FDA removed this draft guidance from its website. This action raises questions about the applicability of statutory obligations to submit DAPs and the agency’s current thinking on best practices for clinical development.</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June 2023, the FDA issued draft guidance with updated recommendations for GCPs aimed at modernizing the design and conduct of clinical trials. The updates are intended to help pave the way for more efficient clinical trials to facilitate the development of medical products. The draft guidance is adopted from the International Council for Harmonisation of Technical Requirements for Pharmaceuticals for Human Use’s, or ICH’s, recently updated E6(R3) draft guideline that was developed to enable the incorporation of rapidly developing technological and methodological innovations into the clinical trial enterprise. In addition, the FDA issued draft guidance outlining recommendations for the implementation of decentralized clinical trials.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Finally, sponsors of clinical trials are required to register and disclose certain clinical trial information on a public registry (clinicaltrials.gov) maintained by the U.S. National Institutes of Health, or NIH. In particular, information related to the product, patient population, phase of investigation, study sites and investigators and other aspects of the clinical trial is made public as part of the registration of the clinical trial. The failure to submit clinical trial information to clinicaltrials.gov, as required, is a prohibited act under the FDCA with violations subject to potential civil monetary penalties of up to US$10,000 for each day the violation continues. As of December 2024, the FDA has issued six notices of non-compliance, thereby signaling the government’s willingness to begin enforcing these requirements against non-compliant clinical trial sponsors. These notices of non-compliance did not result in civil monetary penalties.</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often complete additional animal studies and must also develop additional information about the chemistry and physical characteristics of the candidate product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purity, and potency of the final product candidate. Additionally, appropriate packaging must be selected and tested and stability studies must be conducted to demonstrate that the product candidate does not undergo unacceptable deterioration over its shelf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Studies Outside the United States in Support of FDA Approval</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our clinical development program, we are planning to conduct trials at sites outside the United States. When a foreign clinical trial is conducted under an IND, all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trials must be conducted in accordance with GCP, including undergoing review and receiving approval by an independent ethics committee, or IEC, and seeking and receiving informed consent from subjects.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IND trials.</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acceptance by the FDA of trial data from clinical trials conducted outside the United States in support of U.S. approval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even where the foreign trial data are not intended to serve as the sole basis for approval, the FDA will not accept the data as support for an application for marketing approval unless the trial is well-designed and well-conducted in accordance with GCP requirements and the FDA is able to validate the data from the trial through an onsite inspection if deemed necessary. Many foreign regulatory authorities have similar approval requirements. In addition, such foreign trials are subject to the applicable local laws of the foreign jurisdictions where the trials are conducted.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Interactions with the FDA During the Clinical Development Program</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Following the clearance of an IND and the commencement of clinical trials, the sponsor will continue to have interactions with the FDA. Progress reports detailing the results of clinical trials must be submitted annually within 60 days of the anniversary dates that the IND went into effect and more frequently if serious adverse events occur.</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These reports must include a development safety update report, or DSUR.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product; and any clinically important increase in the occurrence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 With passage of FDORA, Congress clarified FDA’s authority to conduct inspections by expressly permitting inspection of facilities involved in the preparation, conduct, or analysis of clinical and non-clinical studies submitted to FDA as well as other persons holding study records or involved in the study process.</w:t>
      </w:r>
    </w:p>
    <w:p>
      <w:pPr>
        <w:spacing w:after="0" w:line="189"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In addition, sponsors are given opportunities to meet with the FDA at certain points in the clinical development program. Specifically, sponsors may meet with the FDA prior to the submission of an IND (Pre-IND meeting), at the end of Phase 2 clinical trial (EOP2 meeting) and before an NDA is submitted (Pre-NDA meeting). Meetings at other times may also be requested. There are five types of meetings that occur between sponsors and the FDA.</w:t>
      </w:r>
    </w:p>
    <w:p>
      <w:pPr>
        <w:sectPr>
          <w:pgSz w:w="11900" w:h="16838" w:orient="portrait"/>
          <w:cols w:equalWidth="0" w:num="1">
            <w:col w:w="11220"/>
          </w:cols>
          <w:pgMar w:left="320" w:top="115" w:right="359" w:bottom="0" w:gutter="0" w:footer="0" w:header="0"/>
        </w:sect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Type A meetings are those that are necessary for an otherwise stalled product development program to proceed or to address an important safety issue. Type B meetings include pre-IND and pre-NDA meetings as well as end of phase meetings such as EOP2 meetings. A Type C meeting is any meeting other than a Type A or Type B meeting regarding the development and review of a product, including for example meetings to facilitate early consultations on the use of a biomarker as a new surrogate endpoint that has never been previously used as the primary basis for product approval in the proposed context of use. A type D meeting is focused on a narrow set of issues (should be limited to no more than 2 focused topics) and should not require input from more than 3 disciplines or Divisions. Finally, INTERACT meetings are intended for novel products and development programs that present unique challenges in the early development of an investigational product.</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FDA has indicated that its responses, as conveyed in meeting minutes and advice letters, only constitute mere recommendations and/or advice made to a sponsor and, as such, sponsors are not bound by such recommendations and/or advice. Nonetheless, from a practical perspective, a sponsor’s failure to follow the FDA’s recommendations for design of a clinical program may put the program at significant risk of failure.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Other Regulatory Requirements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Concurrently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among other criteria, the sponsor must develop methods for testing the identity, strength, quality, and purity of the finished product. Additionally, appropriate packaging must be selected and tested, and stability studies must be conducted to demonstrate that the product candidate does not undergo unacceptable deterioration over its shelf life.</w:t>
      </w:r>
    </w:p>
    <w:p>
      <w:pPr>
        <w:spacing w:after="0" w:line="18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Specifically, the FDA’s regulations require that pharmaceutical products be manufactured in specific approved facilities and in accordance with cGMPs. The cGMP regulations include requirements relating to organization of personnel, buildings and facilities, equipment, control of components and product containers and closures, production and process controls, packaging and labeling controls, holding and distribution, laboratory controls, records and reports, and returned or salvaged products. Manufacturers and other entities involved in the manufacture and distribution of approved pharmaceuticals are required to register their establishments with the FDA and some state agencies, and they are subject to periodic unannounced inspections by the FDA for compliance with cGMPs and other requirements. The PREVENT Pandemics Act, which was enacted in December 2022, clarifies that foreign drug manufacturing establishments are subject to registration and listing requirements even if a drug undergoes further manufacture, preparation, propagation, compounding, or processing at a separate establishment outside the United States prior to being imported or offered for import into the United States.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Studies</w:t>
      </w:r>
    </w:p>
    <w:p>
      <w:pPr>
        <w:spacing w:after="0" w:line="229" w:lineRule="exact"/>
        <w:rPr>
          <w:sz w:val="20"/>
          <w:szCs w:val="20"/>
          <w:color w:val="auto"/>
        </w:rPr>
      </w:pPr>
    </w:p>
    <w:p>
      <w:pPr>
        <w:ind w:right="460"/>
        <w:spacing w:after="0" w:line="274" w:lineRule="auto"/>
        <w:rPr>
          <w:sz w:val="20"/>
          <w:szCs w:val="20"/>
          <w:color w:val="auto"/>
        </w:rPr>
      </w:pPr>
      <w:r>
        <w:rPr>
          <w:rFonts w:ascii="Times New Roman" w:cs="Times New Roman" w:eastAsia="Times New Roman" w:hAnsi="Times New Roman"/>
          <w:sz w:val="17"/>
          <w:szCs w:val="17"/>
          <w:color w:val="auto"/>
        </w:rPr>
        <w:t>Under PREA, an application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an initial Pediatric Study Plan, or PSP, prior to the assessment data. The PSP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FDA or the sponsor may request an amendment to the plan at any time.</w:t>
      </w:r>
    </w:p>
    <w:p>
      <w:pPr>
        <w:spacing w:after="0" w:line="17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sponsor, grant deferrals for submission of some or all pediatric data until after approval of the product for use in adults, or full or partial waivers from the pediatric data requirements.</w:t>
      </w:r>
    </w:p>
    <w:p>
      <w:pPr>
        <w:spacing w:after="0" w:line="16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FDA is required to send a PREA Non-Compliance letter to sponsors who have failed to submit their pediatric assessments required under PREA, have failed to seek or obtain a deferral or deferral extension or have failed to request approval for a required pediatric formulation. Unless otherwise required by regulation, the pediatric data requirements do not apply to products with orphan designation, although the FDA has recently taken steps to limit what it considers abuse of this statutory exemption.</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Food and Drug Administration Reauthorization Act of 2017, or FDARA, also established new requirements to govern certain molecularly targeted cancer indications. Any company that submits an application three years after the date of enactment of that statute must submit pediatric assessments with the application if the product is intended for the treatment of an adult cancer and is directed at a molecular target that the FDA determines to be substantially relevant to the growth or progression of a pediatric cancer. The investigation must be designed to yield clinically meaningful pediatric study data regarding the dosing, safety and preliminary efficacy to inform pediatric labeling for the product.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505(b)(2) NDAs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sponsor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sponsor for approval of the application “were not conducted by or for the applicant and for which the applicant has not obtained a right of reference or use from the person by or for whom the investigations were conducted.”</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Section 505(b)(2) thus authorizes the FDA to approve an NDA based on safety and effectiveness data that were not developed by the applicant. NDAs filed under Section 505(b)(2) may provide an alternate and potentially more expeditious pathway to FDA approval for new or improved formulations or new uses of previously approved products.</w:t>
      </w:r>
    </w:p>
    <w:p>
      <w:pPr>
        <w:spacing w:after="0" w:line="176"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applicant.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Fast Track, Breakthrough Therapy and Priority Review Designations</w:t>
      </w:r>
    </w:p>
    <w:p>
      <w:pPr>
        <w:spacing w:after="0" w:line="229" w:lineRule="exact"/>
        <w:rPr>
          <w:sz w:val="20"/>
          <w:szCs w:val="20"/>
          <w:color w:val="auto"/>
        </w:rPr>
      </w:pPr>
    </w:p>
    <w:p>
      <w:pPr>
        <w:jc w:val="both"/>
        <w:ind w:right="500"/>
        <w:spacing w:after="0" w:line="261"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are intended to address an unmet medical need in the treatment of a serious or life-threatening disease or condition. These programs include fast track designation, breakthrough therapy designation and priority review designation. None of these expedited programs changes the standards for approval but each may help expedite the development or approval process governing product candidates.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help the sponsor design the clinical trials in an efficient manner.</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 Pathway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irreversible morbidity or mortality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initiate expedited proceedings to withdraw approval of the product. All promotional materials for product candidates approved under accelerated regulations are subject to prior review by the FDA.</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With passage of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and to submit progress reports on its post-approval studies to FDA every six months until the study is completed. Moreover, FDORA established expedited procedures authorizing FDA to withdraw an accelerated approval if certain conditions are met, including where a required confirmatory study fails to verify and describe the predicted 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Commissioner or the Commissioner’s designee and a written appeal, among other things.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More recently, in March 2023, the FDA issued draft guidance that outlines its current thinking and approach to accelerated approval. The agency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guidances relating to accelerated approval. These guidances describe FDA’s latest thinking on what it means to conduct a confirmatory trial with due diligence and how the agency plans to interpret whether such a study needs to be underway at the time of approval. While these guidances are currently only in draft form and will ultimately not be legally binding even when finalized, sponsors typically observe the FDA’s guidance closely to ensure that their investigational products qualify for accelerated approval.</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Submission and Review of an NDA or BLA by the FDA</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along with information relating to the product’s chemistry, manufacturing, controls, safety updates, patent information, abuse information, and proposed labeling, are submitted to the FDA as part of an application requesting approval to market the product candidate for one or more indications.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a drug product, and potency, purity and safety of a biologic product, to the satisfaction of the FDA.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fee required for the submission and review of an application under PDUFA is substantial (for example, for fiscal year 2025, this application fee is</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US$4,310,000), and the sponsor of an approved application is also subject to an annual program fee, which for fiscal year 2025 is US$403,889 per eligible prescription product. These fees are typically adjusted annually, and exemptions and waivers may be available under certain circumstances, such as where a waiver is necessary to protect the public health, where the fee would present a significant barrier to innovation, or where the sponsor is a small business submitting its first human drug application for review.</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all applications within 60 days of receipt and must inform the sponsor at that time or before whether an application is sufficiently complete to permit substantive review. In pertinent part, the FDA’s regulations state that an application “shall not be considered as filed until all pertinent information and data have been received” by the FDA. In the event that the FDA determines that an application does not satisfy this standard, it will issue an RTF determination to the applicant. Typically, an RTF will be based on administrative incompleteness, such as clear omission of information or sections of required information; scientific incompleteness, such as omission of critical data, information, or analyses needed to evaluate safety and efficacy or provide adequate directions for use; or inadequate content, presentation, or organization of information such that substantive and meaningful review is precluded. The FDA may request additional information rather than accept an application for filing. In this event, the application must be resubmitted with the additional information. The resubmitted application is also subject to review before the FDA accepts it for filing.</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After the submission is accepted for filing, the FDA begins an in-depth substantive review of the application. The FDA reviews the application to determine, among other things, whether the proposed product is safe and effective for its intended use, whether it has an acceptable purity profile, and whether the product is being manufactured in accordance with cGMP. Under the goals and policies agreed to by the FDA under PDUFA, the FDA has ten months from the filing date in which to complete its initial review of a standard application that is a new molecular entity, and six months from the filing date for an application with “priority review.” The review process may be extended by the FDA for three additional months to consider new information or in the case of a clarification provided by the sponsor to address an outstanding deficiency identified by the FDA following the original submission. Despite these review goals, it is not uncommon for FDA review of an application to extend beyond the PDUFA goal date.</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its review of an application, the FDA may submit information requests to the sponsor and set deadlines for responses thereto. The FDA will also conduct a pre-approval inspection of the manufacturing facilities for the new product to determine whether the manufacturing processes and facilities comply with cGMPs. The FDA will not approve the product unless it determines that the manufacturing processes and facilities are in compliance with cGMP requirements and are adequate to assure consistent production of the product within required specifications. The FDA also may inspect the sponsor and one or more clinical trial sites to assure compliance with IND and GCP requirements and the integrity of the clinical data submitted to the FDA.</w:t>
      </w:r>
    </w:p>
    <w:p>
      <w:pPr>
        <w:spacing w:after="0" w:line="18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Moreover, the FDA will review a sponsor’s financial relationship with the principal investigators who conducted the clinical trials in support of the NDA. That is because, under certain circumstances, principal investigators at a clinical trial site may also serve as scientific advisors or consultants to a sponsor and receive compensation in connection with such services. Depending on the level of that compensation and any other financial interest a principal investigator may have in a sponsor, the sponsor may be required to report these relationships to the FDA. The FDA will then evaluate that financial relationship and determine whether it creates a conflict of interest or otherwise affects the interpretation of the trial or the integrity of the data generated at the principal investigator’s clinical trial site. If so, the FDA may exclude data from the clinical trial site in connection with its determination of safety and efficacy of the investigational product.</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Additionally, the FDA may refer an application, including applications for novel product candidates which present difficult questions of safety or efficacy, to an advisory committee for review, evaluation, and recommendation as to whether the application should be approved and under what conditions.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considers such recommendations when making final decisions on approval.</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FDA also may require submission of a REMS if it determines that a REMS is necessary to ensure that the benefits of the product outweigh its risks and to assure the safe use of the product. The REMS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is needed, the sponsor of the application must submit a proposed REMS and the FDA will not approve the application without a REMS.</w:t>
      </w:r>
    </w:p>
    <w:p>
      <w:pPr>
        <w:sectPr>
          <w:pgSz w:w="11900" w:h="16838" w:orient="portrait"/>
          <w:cols w:equalWidth="0" w:num="1">
            <w:col w:w="11240"/>
          </w:cols>
          <w:pgMar w:left="320" w:top="115"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FDA’s Decision on an NDA or BLA</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After evaluating the application and all related information, including the advisory committee recommendations, if any, and inspection reports of manufacturing facilities and clinical trial sites, the FDA may issue either a Complete Response Letter, or CRL, or an approval letter. To reach this determination, the FDA must evaluate whether the expected benefits of the proposed product outweigh its potential risks to patients. This “benefit-risk” assessment is informed by the body of evidence about the product’s safety and efficacy in the NDA or BLA.</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If the FDA decides not to license or approve the application, it will issue a CRL. A CRL will describe all of the deficiencies that the FDA has identified in the application, except that where the FDA determines that the data supporting the application are inadequate to support approval, the FDA may issue the CRL without first conducting required inspections, testing submitted product lots (where applicable), and/or reviewing proposed labeling. In issuing the CRL, the FDA may recommend actions that the applicant might take to place the application in condition for approval, including requests for additional information or clarification. The FDA may delay or refuse approval of an application if applicable regulatory criteria are not satisfied, require additional testing or information and/or require post-marketing testing and surveillance to monitor safety or efficacy of a product. If a CRL is issued, the applicant will have one year to respond to the deficiencies identified by the FDA, at which time the FDA can deem the application withdrawn or, in its discretion, grant the applicant an additional six month extension to respond. For those seeking to challenge the FDA’s CRL decision, the FDA has indicated that sponsors may request a formal hearing on the CRL or they may file a request for reconsideration or a request for a formal dispute resolution.</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 approval letter, on the other hand, authorizes commercial marketing of the product with specific prescribing information for specific indications. 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Under the Ensuring Innovation Act, which was signed into law in April 2021, the FDA must publish action packages summarizing its decisions to approve new drug products within 30 days of approval of such products. To date, CRLs are not publicly available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Regulation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Changes to the manufacturing process are strictly regulated and may require prior FDA approval before being implemented. FDA regulations also require investigation and correction of any deviations from cGMPs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83" w:lineRule="exact"/>
        <w:rPr>
          <w:sz w:val="20"/>
          <w:szCs w:val="20"/>
          <w:color w:val="auto"/>
        </w:rPr>
      </w:pPr>
    </w:p>
    <w:p>
      <w:pPr>
        <w:ind w:left="340" w:right="200" w:hanging="238"/>
        <w:spacing w:after="0" w:line="261" w:lineRule="auto"/>
        <w:tabs>
          <w:tab w:leader="none" w:pos="340" w:val="left"/>
        </w:tabs>
        <w:numPr>
          <w:ilvl w:val="0"/>
          <w:numId w:val="8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restrictions on the marketing or manufacturing of the product, suspension of the approval, or complete withdrawal of the product from the market or product recalls;</w:t>
      </w:r>
    </w:p>
    <w:p>
      <w:pPr>
        <w:ind w:left="340" w:hanging="238"/>
        <w:spacing w:after="0"/>
        <w:tabs>
          <w:tab w:leader="none" w:pos="340" w:val="left"/>
        </w:tabs>
        <w:numPr>
          <w:ilvl w:val="0"/>
          <w:numId w:val="8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fines, warning letters or holds on post-approval clinical trials;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8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refusal of the FDA to approve pending NDAs, BLAs or supplements to approved NDAs or BLAs, or suspension or revocation of product approvals;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8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8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injunctions or the imposition of civil or criminal penalties.</w:t>
      </w:r>
    </w:p>
    <w:p>
      <w:pPr>
        <w:spacing w:after="0" w:line="20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It may be permissible, under very specific, narrow conditions, for a manufacturer to engage in nonpromotional, non-misleading communication regarding off-label information, such as distributing scientific or medical journal information. Moreover, with passage of the Pre-Approval Information Exchange Act, or PIE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new legislation explicitly provides protection to sponsors who convey certain information about products in development to payors, including unapproved uses of approved products. In January 2025, the FDA published final guidance outlining the agency’s non-binding policies governing the distribution of scientific information on unapproved uses to healthcare providers. This final guidance calls for such communications to be truthful, non-misleading, factual, and unbiased and include all information necessary for healthcare providers to interpret the strengths and weaknesses and validity and utility of the information about the unapproved use.</w:t>
      </w:r>
    </w:p>
    <w:p>
      <w:pPr>
        <w:spacing w:after="0" w:line="188"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If a company is found to have promoted off-label uses, it may become subject to adverse public relations and administrative and judicial enforcement by the FDA, the Department of Justice or the Office of the Inspector General of HHS, as well as state authorities. This could subject a company to a range of penalties that could have a significant commercial impact, including civil and criminal fines and agreements that materially restrict the manner in which a company promotes or distributes drug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Generic Drugs and Regulatory Exclusivity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1984, with passage of the Drug Price Competition and Patent Term Restoration Act of 1984, commonly known as the Hatch-Waxman Act, Congress established an abbreviated regulatory scheme authorizing the FDA to approve generic drugs that are shown to contain the same active ingredients as, and to be bioequivalent to, drugs previously approved by the FDA pursuant to NDAs and it also enacted Section 505(b)(2). To obtain approval of a generic drug, a sponsor must submit an ANDA to the FDA. In support of such applications, a generic manufacturer may rely on the preclinical and clinical testing conducted for a drug product previously approved under an NDA, known as the reference listed drug, or RLD.</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Specifically, in order for an ANDA to be approved, the FDA must find that the generic version is identical to the RLD with respect to the active ingredients, the route of administration, the dosage form, the strength of the drug, and the conditions of use of the drug. At the same time, the FDA must also determine that the generic drug is “bioequivalent” to the innovator drug.</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Hatch-Waxman Act, the FDA may not approve an ANDA or 505(b)(2) application until any applicable period of non-patent exclusivity for the RLD has expired. The FDCA provides a period of five years of regulatory exclusivity for a new drug containing a new chemical entity, or NCE. For the purposes of this provision, the FDA has consistently taken the position that an NCE is a drug that contains no active moiety that has previously been approved by the FDA in any other NDA. This interpretation was confirmed with enactment of the Ensuring Innovation Act in April 2021. An active moiety is the molecule or ion responsible for the physiological or pharmacological action of the drug substance. In cases where such NCE exclusivity has been granted, a generic or follow-on drug application may not be filed with the FDA until the expiration of five years unless the submission is accompanied by a Paragraph IV certification, in which case the sponsor may submit its application four years following the original product approval.</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FDCA also provides for a period of three years of regulatory exclusivity if the NDA includes reports of one or more new clinical investigations, other than bioavailability or bioequivalence studies, that were conducted by or for the sponsor and are essential to the approval of the application. This three-year exclusivity period often protects changes to a previously approved drug product, such as new indications, dosage forms, route of administration or combination of ingredients.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or 505(b)(2) NDAs seeking approval for generic versions of the drug as of the date of approval of the original drug product; rather, this three-year exclusivity covers only the conditions of use associated with the new clinical investigations and, as a general matter, does not prohibit the FDA from approving follow-on applications for drugs containing the original active ingredient.</w:t>
      </w:r>
    </w:p>
    <w:p>
      <w:pPr>
        <w:spacing w:after="0" w:line="19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Five-year and three-year regulatory exclusivity also will not delay the submission or approval of a traditional NDA filed under Section 505(b)(1) of the FDCA; however, a sponsor submitting a traditional NDA would be required to conduct or obtain a right of reference to all of the preclinical studies and adequate and well-controlled clinical trials necessary to demonstrate safety and effectiveness.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part of the submission of an NDA or certain supplemental applications, NDA sponsors are required to list with the FDA each patent with claims that cover the sponsor’s product or an approved method of using the product. Upon approval of a new drug, each of the patents listed in the application for the drug is then published in the Orange Book. The FDA’s regulations governing patient listings were largely codified into law with enactment of the Orange Book Modernization Act in January 2021. When an ANDA applicant files its application with the FDA, the applicant is required to certify to the FDA concerning any patents listed for the reference product in the Orange Book.</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Specifically, the ANDA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Moreover, to the extent that the Section 505(b)(2) NDA applicant is relying on studies conducted for an already approved product, the applicant also is required to certify to the FDA concerning any patents listed for the NDA-approved product in the Orange Book to the same extent that an ANDA applicant would.</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the generic drug or follow-on drug applicant does not challenge the innovator’s listed patents, the FDA will not approve the ANDA or 505(b)(2) application until all the listed patents claiming the referenced product have expired. A certification that the new generic product will not infringe the already approved product’s listed patents or that such patents are invalid or unenforceable is called a Paragraph IV certification. If the ANDA applicant has provided a Paragraph IV certification to the FDA, the applicant must also send notice of the Paragraph IV certification to the NDA owner and patent holders once the ANDA has been accepted for filing by the FDA. The NDA owner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or 505(b)(2) NDA until the earliest of 30 months after the receipt of the Paragraph IV notice, expiration of the patent and a decision in the infringement case that is favorable to the ANDA or 505(b)(2) NDA applicant.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Regulatory Exclusivity</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ACA, which was signed into law on March 23, 2010, included a subtitle called the Biologics Price Competition and Innovation Act of 2009, or BPCIA. The BPCIA established a regulatory scheme authorizing the FDA to approve biosimilars and interchangeable biosimilars. To date, the FDA has approved a number of biosimilars and several interchangeable biosimilar products.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FDA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 In December 2022, Congress clarified through FDORA that the FDA may approve multiple first interchangeable biosimilar biological products so long as the products are all approved on the first day on which such a product is approved as interchangeable with the reference product.</w:t>
      </w:r>
    </w:p>
    <w:p>
      <w:pPr>
        <w:spacing w:after="0" w:line="192"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There have been recent government proposals to reduce the 12-year reference product exclusivity period, but none have been enacted to date. At the same time, since passage of the BPCIA, many states have passed laws or amendments to laws, which address pharmacy practices involving biosimilar products.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designate a drug or biologic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drug designation before submitting an NDA or BLA for the candidate product. If the request is granted, the FDA will disclose the identity of the product candidate and its potential use. Orphan drug designation does not shorten the regulatory review and approval process, although it does convey certain advantages such as tax benefits and user fee exemptions.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drug or biologic for the same disease or condition for seven years, except in certain limited circumstances. Orphan exclusivity does not block the approval of a different product for the same rare disease or condition, nor does it block the approval of the same product for different indications. If a drug or biologic designated as an orphan drug ultimately receives marketing approval for an indication broader than what was designated in its orphan drug application, it may not be entitled to exclusivity.</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Orphan exclusivity will not bar approval of another product under certain circumstances, including if a company with orphan drug exclusivity is not able to meet market demand and in cases where a subsequent product with the same drug or biologic for the same indication is shown to be clinically superior to the approved product on the basis of greater efficacy or safety, or providing a major contribution to patient care.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September 2021, the Court of Appeals for the 11th Circuit held that, for the purpose of determining the scope of market exclusivity, the term “same disease or condition” in the statute means the designated “rare disease or condition” and could not be interpreted by the FDA to mean the “indication or use.” Thus, the court concluded, orphan drug exclusivity applies to the entire designated disease or condition rather than the “indication or use.” Although there have been legislative proposals to overrule this decision, they have not been enacted into law. On January 23, 2023, the FDA announced that, in matters beyond the scope of that court order, the FDA will continue to apply its existing regulations tying orphan-drug exclusivity to the uses or indications for which the orphan drug was approved.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Exclusivity</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regulatory exclusivity. For drug products, the six-month exclusivity may be attached to the term of any existing patent or regulatory exclusivity. For biologic products, the six-month period may only be attached to any existing regulatory exclusivities but not to any patent terms. This six-month exclusivity may be granted if an NDA or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non-patent exclusivity for drugs and biologics, or patent protection that covers a drug product, are extended by six months. This is not a patent term extension, but it effectively extends the regulatory period during which the FDA cannot approve another application.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Extension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patent claiming a new product may be eligible for a limited patent term extension under the Hatch-Waxman Act, which permits a patent restoration of up to five years for patent term lost during product development and the FDA regulatory review. The restoration period granted on a patent covering a product is typically one-half the time between the effective date of the IND approval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Regulation of Medical Devices</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The FDCA defines a medical device in pertinent part to include any instrument, apparatus, implement, machine, contrivance, implant,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reagent, or other similar or related article, including a component part, or accessory, intended for use in the diagnosis of disease or other conditions, or in the cure, mitigation, treatment, or prevention of disease, in man or other animals, or to affect the structure or function of the body. Among other things, pursuant to the FDCA and its implementing regulations, the FDA regulates the research, testing, manufacturing, safety, labeling, storage, recordkeeping, premarket clearance or approval, marketing and promotion and sales and distribution of medical devices in the United States. In addition to traditional devices, like surgical tools, the FDA regulates certain software, including artificial intelligence and machine learning algorithms, as medical devices depending on their intended use.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Device Classification</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FDA categorizes medical devices into one of three classes—Class I, II, or III—based on the risks presented by the device and the regulatory controls necessary to provide a reasonable assurance of the device’s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or QSR, facility registration and product listing, reporting of adverse medical events or certain malfunctions, and truthful and non-misleading labeling, advertising, and promotional materials. Class II devices are subject to the FDA’s General Controls, and special controls as deemed necessary by the FDA to ensure the safety and effectiveness of the device. Special controls are established by the FDA for a specific device type and often include specific labeling provisions, performance metrics, and other types of controls that mitigate risks of the device.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the FDA’s premarket notification and clearance process in order to be commercially distributed.</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PMA Pathway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Class III devices generally require PMA approval before they can be marketed. Obtaining PMA approval requires the submission of “valid scientific evidence” to the FDA to support a finding of a reasonable assurance of the safety and effectiveness of the device. A PMA must provide complete analytical and clinical performance data and also information about the device and its components regarding, among other things, device design, manufacturing and labeling.</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Following receipt of a PMA, the FDA determines whether the application is sufficiently complete to permit a substantive review. If the FDA accepts the application for review, it has 180 days under the FDCA to complete its review of a PMA, although in practice,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As part of the FDA’s review of a PMA, the FDA will typically inspect the manufacturer’s facilities for compliance with QSR requirements, which impose requirements related to design controls, manufacturing controls, documentation and other quality assurance procedures. The user fee costs and the length of FDA review time for obtaining PMA approval are significantly higher than for a 510(k) notification 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PMA applications are subject to an application fee, which for federal fiscal year 2025 is $540,783 and the small business fee is $139,196.</w:t>
      </w:r>
    </w:p>
    <w:p>
      <w:pPr>
        <w:spacing w:after="0" w:line="192"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Notification Pathway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To obtain 510(k) clearance, a manufacturer must submit a premarket notification demonstrating to the FDA’s satisfaction that the proposed device is “substantially equivalent” to another legally marketed device that itself does not require PMA approval (a predicate device).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three to 12 months, but often takes longer. FDA may require additional information, including clinical data, to make a determination regarding substantial equivalence. In addition, the FDA collects user fees for certain medical device submissions and annual fees and for medical device establishments. If the FDA agrees that the device is substantially equivalent to a lawfully marketed predicate device, it will grant 510(k) clearance to authorize the device for commercialization.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process, which is a route to market for novel medical devices that are low to moderate risk and are not substantially equivalent to a predicate device, discussed below.</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After a device receives 510(k) clearance, any modification that could significantly affect its safety or effectiveness, or that would constitute a major change or modification in its intended use, will require a new 510(k) clearance or, depending on the modification, PMA approval. The FDA requires each manufacturer to determine whether the proposed change requires submission of a 510(k) or a PMA in the first instance, but the FDA can review any such decision and disagree with a manufacturer’s determination. Many minor modifications are accomplished by a “letter to file” in which the manufacturer documents the rationale for the change and why a new 510(k) is not required.</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However, if the FDA disagrees with a manufacturer’s determination, the FDA can require the manufacturer to cease marketing and/or request the recall of the modified device until 510(k) marketing clearance or PMA approval is obtained. Also, in these circumstances, the manufacturer may be subject to significant regulatory fines or penalties.</w:t>
      </w:r>
    </w:p>
    <w:p>
      <w:pPr>
        <w:spacing w:after="0" w:line="176"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 xml:space="preserve">If no legally marketed predicate can be identified for a new device to enable use of the 510(k) pathway, the device is automatically classified under the FDCA into Class III, which generally requires PMA approval. However, the FDA can reclassify or a sponsor can seek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for a novel device that is low to moderate risk and would otherwise meet the FDCA standards for a Class I or Class II device, permitting the device to be marketed without PMA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 Novo Classification</w:t>
      </w:r>
    </w:p>
    <w:p>
      <w:pPr>
        <w:spacing w:after="0" w:line="22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 xml:space="preserve">The Food and Drug Administration Modernization Act of 1997 established a route to market for low to moderate risk medical devices that are automatically placed into Class III due to the absence of a predicate device, called the “Request for Evaluation of Automatic Class III Designation,” or the </w:t>
      </w:r>
      <w:r>
        <w:rPr>
          <w:rFonts w:ascii="Times New Roman" w:cs="Times New Roman" w:eastAsia="Times New Roman" w:hAnsi="Times New Roman"/>
          <w:sz w:val="18"/>
          <w:szCs w:val="18"/>
          <w:i w:val="1"/>
          <w:iCs w:val="1"/>
          <w:color w:val="auto"/>
        </w:rPr>
        <w:t xml:space="preserve">de novo </w:t>
      </w:r>
      <w:r>
        <w:rPr>
          <w:rFonts w:ascii="Times New Roman" w:cs="Times New Roman" w:eastAsia="Times New Roman" w:hAnsi="Times New Roman"/>
          <w:sz w:val="18"/>
          <w:szCs w:val="18"/>
          <w:color w:val="auto"/>
        </w:rPr>
        <w:t xml:space="preserve">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Prior to the enactment of the Food and Drug Administration Safety and Innovation Act of 2012, or FDASIA, a medical device could be eligible for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only if the manufacturer first submitted a 510(k) premarket notification and received a determination from the FDA that the device was not substantially equivalent to a legally marketed predicate device. FDASIA streamlined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pathway by permitting manufacturers to request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directly without first submitting a 510(k) premarket notification to the FDA and receiving a not substantially equivalent determination. If the manufacturer seeks reclassification into Class II, the manufacturer must include a draft proposal for special controls that are necessary to provide a reasonable assurance of the safety and effectiveness of the medical device. In addition, the FDA may reject the request if it identifies a legally marketed predicate device that would be appropriate for a 510(k) notification, determines that the device is not low to moderate risk, or that general controls would be inadequate to control the risks and special controls cannot be developed. After a device receives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any modification that could significantly affect its safety or efficacy, or that would constitute a major change or modification in its intended use, will require a new 510(k) clearance or, depending on the modification, another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or even PMA approval.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Investigational Device Exemption Process</w:t>
      </w:r>
    </w:p>
    <w:p>
      <w:pPr>
        <w:spacing w:after="0" w:line="22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Clinical trials are almost always required to support a PMA and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and are sometimes required to support a 510(k) submission. All clinical investigations of investigational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the FDA requires the device sponsor to submit an IDE application to the FDA, which must become effective prior to commencing human clinical trials.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the study must be approved by, and conducted under the oversight of, an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for Medical Devices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FDA has implemented a Breakthrough Devices Program, which is a voluntary program offering manufacturers of certain devices an opportunity to interact with the FDA more frequently and efficiently as they develop their products with the goal of expediting commercialization of such products to help patients have more timely access. The program is available to medical devices that meet certain eligibility criteria, including that the device provides more effective treatment or diagnosis of life-threatening or irreversibly debilitating diseases or conditions, and constitutes a device (i) that represents a breakthrough technology, (ii) for which no approved or cleared alternatives exist, (iii) that offer significant advantages over existing approved or cleared alternatives, or (iv) the availability of which is in the best interest of patients. Devices granted Breakthrough Device designation are eligible to rely on certain features of the Breakthrough Device Program, including interactive and timely communications with FDA staff, use of post-market data collection, when scientifically appropriate, to facilitate expedited and efficient development and review of the device, opportunities for efficient and flexible clinical study design and priority review of premarket submissions.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Post-market Regulation of Medical Devices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a device is cleared or approved by the FDA for marketing, numerous and pervasive regulatory requirements continue to apply. These include:</w:t>
      </w:r>
    </w:p>
    <w:p>
      <w:pPr>
        <w:spacing w:after="0" w:line="225" w:lineRule="exact"/>
        <w:rPr>
          <w:sz w:val="20"/>
          <w:szCs w:val="20"/>
          <w:color w:val="auto"/>
        </w:rPr>
      </w:pPr>
    </w:p>
    <w:p>
      <w:pPr>
        <w:ind w:left="340" w:hanging="238"/>
        <w:spacing w:after="0"/>
        <w:tabs>
          <w:tab w:leader="none" w:pos="340" w:val="left"/>
        </w:tabs>
        <w:numPr>
          <w:ilvl w:val="0"/>
          <w:numId w:val="8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establishment registration and device listing with the FDA;</w:t>
      </w:r>
    </w:p>
    <w:p>
      <w:pPr>
        <w:spacing w:after="0" w:line="27" w:lineRule="exact"/>
        <w:rPr>
          <w:rFonts w:ascii="Times New Roman" w:cs="Times New Roman" w:eastAsia="Times New Roman" w:hAnsi="Times New Roman"/>
          <w:sz w:val="18"/>
          <w:szCs w:val="18"/>
          <w:color w:val="0A2E94"/>
        </w:rPr>
      </w:pPr>
    </w:p>
    <w:p>
      <w:pPr>
        <w:ind w:left="340" w:right="460" w:hanging="238"/>
        <w:spacing w:after="0" w:line="250" w:lineRule="auto"/>
        <w:tabs>
          <w:tab w:leader="none" w:pos="340" w:val="left"/>
        </w:tabs>
        <w:numPr>
          <w:ilvl w:val="0"/>
          <w:numId w:val="8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ind w:left="340" w:hanging="238"/>
        <w:spacing w:after="0"/>
        <w:tabs>
          <w:tab w:leader="none" w:pos="340" w:val="left"/>
        </w:tabs>
        <w:numPr>
          <w:ilvl w:val="0"/>
          <w:numId w:val="8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labeling regulations and FDA prohibitions against the promotion of “off-label” uses of cleared or approved products;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8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requirements related to promotional activities;</w:t>
      </w:r>
    </w:p>
    <w:p>
      <w:pPr>
        <w:spacing w:after="0" w:line="9" w:lineRule="exact"/>
        <w:rPr>
          <w:rFonts w:ascii="Times New Roman" w:cs="Times New Roman" w:eastAsia="Times New Roman" w:hAnsi="Times New Roman"/>
          <w:sz w:val="18"/>
          <w:szCs w:val="18"/>
          <w:color w:val="0A2E94"/>
        </w:rPr>
      </w:pPr>
    </w:p>
    <w:p>
      <w:pPr>
        <w:ind w:left="340" w:right="820" w:hanging="238"/>
        <w:spacing w:after="0" w:line="260" w:lineRule="auto"/>
        <w:tabs>
          <w:tab w:leader="none" w:pos="340" w:val="left"/>
        </w:tabs>
        <w:numPr>
          <w:ilvl w:val="0"/>
          <w:numId w:val="8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 of cleared devices, or approval of certain modifications to PMA-approved devices;</w:t>
      </w: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right="200" w:hanging="238"/>
        <w:spacing w:after="0" w:line="257" w:lineRule="auto"/>
        <w:tabs>
          <w:tab w:leader="none" w:pos="340" w:val="left"/>
        </w:tabs>
        <w:numPr>
          <w:ilvl w:val="0"/>
          <w:numId w:val="8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 w:lineRule="exact"/>
        <w:rPr>
          <w:rFonts w:ascii="Times New Roman" w:cs="Times New Roman" w:eastAsia="Times New Roman" w:hAnsi="Times New Roman"/>
          <w:sz w:val="18"/>
          <w:szCs w:val="18"/>
          <w:color w:val="0A2E94"/>
        </w:rPr>
      </w:pPr>
    </w:p>
    <w:p>
      <w:pPr>
        <w:ind w:left="340" w:right="560" w:hanging="238"/>
        <w:spacing w:after="0" w:line="250" w:lineRule="auto"/>
        <w:tabs>
          <w:tab w:leader="none" w:pos="340" w:val="left"/>
        </w:tabs>
        <w:numPr>
          <w:ilvl w:val="0"/>
          <w:numId w:val="8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ind w:left="340" w:right="340" w:hanging="238"/>
        <w:spacing w:after="0" w:line="250" w:lineRule="auto"/>
        <w:tabs>
          <w:tab w:leader="none" w:pos="340" w:val="left"/>
        </w:tabs>
        <w:numPr>
          <w:ilvl w:val="0"/>
          <w:numId w:val="8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ind w:left="340" w:right="280" w:hanging="238"/>
        <w:spacing w:after="0" w:line="260" w:lineRule="auto"/>
        <w:tabs>
          <w:tab w:leader="none" w:pos="340" w:val="left"/>
        </w:tabs>
        <w:numPr>
          <w:ilvl w:val="0"/>
          <w:numId w:val="8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Device manufacturing processes subject to FDA oversight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Manufacturers are subject to periodic scheduled or unscheduled inspections by the FDA. A failure to maintain compliance with the QSR requirements could result in the shut-down of, or restrictions on, manufacturing operations and the recall or seizure of products. The discovery of previously unknown problems with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9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a manufacturer has failed to comply with applicable regulatory requirements, it can take a variety of compliance or enforcement actions, including the following:</w:t>
      </w:r>
    </w:p>
    <w:p>
      <w:pPr>
        <w:spacing w:after="0" w:line="162" w:lineRule="exact"/>
        <w:rPr>
          <w:sz w:val="20"/>
          <w:szCs w:val="20"/>
          <w:color w:val="auto"/>
        </w:rPr>
      </w:pPr>
    </w:p>
    <w:p>
      <w:pPr>
        <w:ind w:left="340" w:hanging="238"/>
        <w:spacing w:after="0"/>
        <w:tabs>
          <w:tab w:leader="none" w:pos="340" w:val="left"/>
        </w:tabs>
        <w:numPr>
          <w:ilvl w:val="0"/>
          <w:numId w:val="8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issuance of warning letters, untitled letters, fines, injunctions, consent decrees and civil penalties;</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8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requesting or requiring recalls, withdrawals, or administrative detention or seizure of our products;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8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imposing operating restrictions or partial suspension or total shutdown of production;</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8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refusing or delaying requests for 510(k) marketing clearance or PMA approvals of new products or modified products;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8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withdrawing 510(k) clearances or PMA approvals that have already been granted;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8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refusal to grant export approvals for our products; or</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8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criminal prosecution.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9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candidate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drug product does not assure that other payors will also provide coverage and reimbursement for the product, and the level of coverage and reimbursement can differ significantly from payor to payor.</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the Outpatient Prospective Payment System, or OPPS, the costs associated with diagnostic radiopharmaceuticals have been packaged into the payment for the nuclear medicine tests with which they are used. In July 2024, CMS recognized that in certain instances the payment amount for the nuclear medicine tests may not adequately account for the cost of certain specialized diagnostic radiopharmaceuticals, even when those agents may be the most clinically appropriate. Accordingly, CMS proposed to revise its policies so as to pay separately for any diagnostic radiopharmaceutical with a per day cost greater than $630 and removing such costs from the payment amounts for the nuclear medicine tests. Any diagnostic radiopharmaceutical with a per-day cost equal to or below that threshold would continue to be policy-packaged, with costs incorporated into the payment rates for the nuclear medicine tests. Any diagnostic radiopharmaceutical with a per-day cost equal to or below that threshold would continue to be policy-packaged, with costs incorporated into the payment rates for the nuclear medicine tests. On November 1, 2024, CMS issued a final rule to these Medicare payment rates for hospital outpatient and Ambulatory Surgical Center services for calendar year, finalizing this proposal effective January 1,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Compliance</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the United States, biopharmaceutical manufacturers and their products are subject to extensive regulation at the federal and state level, such as laws intended to prevent fraud and abuse in the healthcare industry. Healthcare providers and third-party payors play a primary role in the recommendation and prescription of pharmaceutical products that are granted marketing approval. Arrangements with providers, consultants, third-party payors, and customers are subject to broadly applicable fraud and abuse, anti-kickback, false claims laws, reporting of payments to healthcare providers and patient privacy laws and regulations and other healthcare laws and regulations that may constrain our business and/or financial arrangements. Restrictions under applicable federal and state healthcare laws and regulations, including certain laws and regulations applicable only if we have marketed products, include the following:</w:t>
      </w:r>
    </w:p>
    <w:p>
      <w:pPr>
        <w:spacing w:after="0" w:line="189" w:lineRule="exact"/>
        <w:rPr>
          <w:sz w:val="20"/>
          <w:szCs w:val="20"/>
          <w:color w:val="auto"/>
        </w:rPr>
      </w:pPr>
    </w:p>
    <w:p>
      <w:pPr>
        <w:ind w:left="340" w:right="100" w:hanging="238"/>
        <w:spacing w:after="0" w:line="254" w:lineRule="auto"/>
        <w:tabs>
          <w:tab w:leader="none" w:pos="340" w:val="left"/>
        </w:tabs>
        <w:numPr>
          <w:ilvl w:val="0"/>
          <w:numId w:val="8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federal healthcare program Anti-Kickback Statute, which prohibits, among other things, persons from knowingly and willfully offering, soliciting, receiving, or providing remuneration, directly or indirectly, to induce either the referral of an individual for, or the purchase, order, or arranging for or recommending the purchase or order of a good or service for which payment may be made under federal healthcare programs such as Medicare and Medicaid. A person or entity does not need to have actual knowledge of the federal Anti-Kickback Statute or specific intent to violate it in order to have committed a violation;</w:t>
      </w:r>
    </w:p>
    <w:p>
      <w:pPr>
        <w:spacing w:after="0" w:line="3" w:lineRule="exact"/>
        <w:rPr>
          <w:rFonts w:ascii="Times New Roman" w:cs="Times New Roman" w:eastAsia="Times New Roman" w:hAnsi="Times New Roman"/>
          <w:sz w:val="18"/>
          <w:szCs w:val="18"/>
          <w:color w:val="0A2E94"/>
        </w:rPr>
      </w:pPr>
    </w:p>
    <w:p>
      <w:pPr>
        <w:ind w:left="340" w:right="240" w:hanging="238"/>
        <w:spacing w:after="0" w:line="250" w:lineRule="auto"/>
        <w:tabs>
          <w:tab w:leader="none" w:pos="340" w:val="left"/>
        </w:tabs>
        <w:numPr>
          <w:ilvl w:val="0"/>
          <w:numId w:val="8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 In addition, the government may assert that a claim including items or services resulting from a violation of the federal Anti-Kickback Statute constitutes a false or fraudulent claim for purposes of the civil False Claims Act;</w:t>
      </w:r>
    </w:p>
    <w:p>
      <w:pPr>
        <w:spacing w:after="0" w:line="1" w:lineRule="exact"/>
        <w:rPr>
          <w:rFonts w:ascii="Times New Roman" w:cs="Times New Roman" w:eastAsia="Times New Roman" w:hAnsi="Times New Roman"/>
          <w:sz w:val="18"/>
          <w:szCs w:val="18"/>
          <w:color w:val="0A2E94"/>
        </w:rPr>
      </w:pPr>
    </w:p>
    <w:p>
      <w:pPr>
        <w:ind w:left="340" w:right="140" w:hanging="238"/>
        <w:spacing w:after="0" w:line="250" w:lineRule="auto"/>
        <w:tabs>
          <w:tab w:leader="none" w:pos="340" w:val="left"/>
        </w:tabs>
        <w:numPr>
          <w:ilvl w:val="0"/>
          <w:numId w:val="8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federal Health Insurance Portability and Accountability Act of 1996, or HIPAA, which, in addition to privacy protections applicable to healthcare providers and other entities, prohibits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 w:lineRule="exact"/>
        <w:rPr>
          <w:rFonts w:ascii="Times New Roman" w:cs="Times New Roman" w:eastAsia="Times New Roman" w:hAnsi="Times New Roman"/>
          <w:sz w:val="18"/>
          <w:szCs w:val="18"/>
          <w:color w:val="0A2E94"/>
        </w:rPr>
      </w:pPr>
    </w:p>
    <w:p>
      <w:pPr>
        <w:ind w:left="340" w:right="300" w:hanging="238"/>
        <w:spacing w:after="0" w:line="250" w:lineRule="auto"/>
        <w:tabs>
          <w:tab w:leader="none" w:pos="340" w:val="left"/>
        </w:tabs>
        <w:numPr>
          <w:ilvl w:val="0"/>
          <w:numId w:val="8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jc w:val="both"/>
        <w:ind w:left="340" w:hanging="238"/>
        <w:spacing w:after="0" w:line="250" w:lineRule="auto"/>
        <w:tabs>
          <w:tab w:leader="none" w:pos="340" w:val="left"/>
        </w:tabs>
        <w:numPr>
          <w:ilvl w:val="0"/>
          <w:numId w:val="8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federal Open Payments (or federal “sunshine” law), which requires pharmaceutical and medical device companies to monitor and report certain financial interactions with certain healthcare providers and teaching hospitals to CMS within the HHS for re-disclosure to the public, as well as ownership and investment interests held by physicians (as defined by statute) and their immediate family members;</w:t>
      </w:r>
    </w:p>
    <w:p>
      <w:pPr>
        <w:spacing w:after="0" w:line="1"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8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9" w:lineRule="exact"/>
        <w:rPr>
          <w:rFonts w:ascii="Times New Roman" w:cs="Times New Roman" w:eastAsia="Times New Roman" w:hAnsi="Times New Roman"/>
          <w:sz w:val="18"/>
          <w:szCs w:val="18"/>
          <w:color w:val="0A2E94"/>
        </w:rPr>
      </w:pPr>
    </w:p>
    <w:p>
      <w:pPr>
        <w:ind w:left="340" w:right="180" w:hanging="238"/>
        <w:spacing w:after="0" w:line="253" w:lineRule="auto"/>
        <w:tabs>
          <w:tab w:leader="none" w:pos="340" w:val="left"/>
        </w:tabs>
        <w:numPr>
          <w:ilvl w:val="0"/>
          <w:numId w:val="8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analogous state laws and regulations, including: state anti-kickback and false claims laws; state laws requiring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 and state laws governing privacy, security and breaches of health information in certain circumstances, many of which differ from each other in significant ways and often are not preempted by HIPAA, thus complicating compliance efforts; and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hanging="238"/>
        <w:spacing w:after="0" w:line="261" w:lineRule="auto"/>
        <w:tabs>
          <w:tab w:leader="none" w:pos="340" w:val="left"/>
        </w:tabs>
        <w:numPr>
          <w:ilvl w:val="0"/>
          <w:numId w:val="90"/>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laws and regulations prohibiting bribery and corruption such as the FCPA, which, among other things, prohibits U.S. companies and their employees and agents from authorizing, promising, offering, or providing, directly or indirectly, corrupt or improper payments or anything else of value to foreign government officials, employees of public international organizations or foreign government-owned or affiliated entities, candidates for foreign public office, and foreign political parties or officials thereof.</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Violations of these laws are punishable by criminal and/or civil sanctions, including, in some instances, exclusion from participation in federal and state health care programs, such as Medicare and Medicaid. Ensuring compliance is time consuming and costly. Similar healthcare laws and regulations exist in the European Union and other jurisdictions, including reporting requirements detailing interactions with and payments to healthcare providers and laws governing the privacy and security of personal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There have been a number of federal and state proposals during the last few years regarding the pricing of drug products, limiting coverage and reimbursement for medical products and other changes to the healthcare system in the United States.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March 2010, the U.S. Congress enacted the ACA, which, among other things, includes changes to the coverage and payment for pharmaceutical products under government healthcare programs. 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In August 2011, the Budget Control Act of 2011, among other things, included aggregate reductions to Medicare payments to providers, which went into effect in April 2013 and will remain in effect through 2032, with the exception of a temporary suspension from May 1, 2020 through March 31, 2022. In addition, on March 11, 2021, the American Rescue Plan Act of 2021 was signed into law, which eliminated the statutory cap on the Medicaid drug rebate, beginning January 1, 2024. The rebate was previously capped at 100% of a drug’s average manufacturer price.</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subsequent legislation, these Medicare sequester reductions were suspended and reduced in 2021 and 2022 but, as of July 1, 2022, the full 2% cut has resumed. Under current legislation, the actual reductions in Medicare payments may vary up to 4%. The Consolidated Appropriations Act, which was signed into law by President Biden in December 2022, made several changes to sequestration of the Medicare program. Section 1001 of the Act delays the 4% Statutory Pay-As-You-Go Act of 2010, or PAYGO, sequester for two years, through the end of calendar year 2024. Triggered by enactment of the American Rescue Plan Act of 2021, the 4% cut to the Medicare program would have taken effect in January 2023. The Act’s health care offset title includes Section 4163, which extends the 2% Budget Control Act of 2011 Medicare sequester for six months into FY 2032 and lowers the payment reduction percentages in FYs 2030 and 2031.</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Prices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October 2020, HHS and the FDA published a final rule allowing states and other entities to develop a SIP to import certain prescription drugs from Canada into the United States. That regulation was challenged in a lawsuit by PhRMA, but the case was dismissed by a federal district court in February 2023 after the court found that PhRMA did not have standing to sue HHS. Several states have passed laws allowing for the importation of drugs from Canada.</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Several states have passed laws allowing for the importation of products from Canada. Other states have passed legislation establishing workgroups to examine the impact of a state importation program. As of October 2024, five states (Colorado, Florida, Maine, New Hampshire and New Mexico) had submitted Section 804 Importation Program proposals to the FDA. On January 5, 2023, the FDA approved Florida’s plan for Canadian product importation. That state now has authority to import certain products from Canada for a period of two years once certain conditions are met. Florida will first need to submit a pre-import request for each product selected for importation, which must be approved by the FDA. The state will also need to relabel the products and perform quality testing of the products to meet FDA standards.</w:t>
      </w:r>
    </w:p>
    <w:p>
      <w:pPr>
        <w:spacing w:after="0" w:line="18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final rule would also eliminate the current safe harbor for Medicare drug rebates and create new safe harbors for beneficiary point-of-sale discounts and pharmacy benefit manager service fees. It was originally set to go into effect on January 1, 2022, but with passage of the IRA, has been delayed by Congress to January 1, 2032.</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August 16, 2022,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nine years and biologics that have been licensed for 13 years, but it does not apply to drugs and biologics that have been approved for a single rare disease or condition. 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US$4,000 a year in 2024 and, thereafter beginning in 2025, at US$2,000 a year. The first cycle of negotiations for the Medicare Drug Price Negotiation Program commenced in the summer of 2023 and the second cycle will commence in the fall of 2024.</w:t>
      </w:r>
    </w:p>
    <w:p>
      <w:pPr>
        <w:spacing w:after="0" w:line="19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first cycle of negotiations for the Medicare Drug Price Negotiation Program commenced in the summer of 2023. On August 15, 2024, the HHS published the results of the first Medicare drug price negotiations for ten selected drugs that treat a range of conditions, including diabetes, chronic kidney disease, and rheumatoid arthritis. The prices of these ten drugs will become effective January 1, 2026. On January 17, 2025, CMS announced its selection of 15 additional drugs covered by Part D for the second cycle of negotiations. While there had been some questions about the Trump Administration’s position on this program, CMS issued a public statement on January 29, 2025, declaring that lowering the cost of prescription drugs is a top priority of the new administration and CMS is committed to considering opportunities to bring greater transparency in the negotiation program. The second cycle of negotiations with participating drug companies will occur during 2025, and any negotiated prices for this second set of drugs will be effective starting January 1, 2027.</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6, 2023, Merck filed a lawsuit against HHS and CMS asserting that, among other things, the IRA’s Drug Price Negotiation Program for Medicare constitutes an uncompensated taking in violation of the Fifth Amendment of the Constitution. Subsequently, a number of other parties, also filed lawsuits in various courts with similar constitutional claims against HHS and CMS. HHS has generally won the substantive disputes in these cases, and various federal district court judges have expressed skepticism regarding the merits of the legal arguments being pursued by the pharmaceutical industry. Certain of these cases are now on appeal and, on October 30, 2024, the Court of Appeals for the Third Circuit heard oral argument in three of these cases. There have been various decisions by the courts considering these cases since they were filed. Litigation involving these and other provisions of the IRA will continue with unpredictable and uncertain results.</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and wholesale distributors, to disclose information about pricing of pharmaceuticals. This is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healthcare organizations and individual hospitals are increasingly using bidding procedures to determine what pharmaceutical products and which suppliers will be included in their prescription pharmaceutical and other healthcare programs. These measures could reduce the ultimate demand for our product candidates,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by the Nuclear Regulatory Commission of Radionuclides Used for Medical Purposes</w:t>
      </w:r>
    </w:p>
    <w:p>
      <w:pPr>
        <w:spacing w:after="0" w:line="229" w:lineRule="exact"/>
        <w:rPr>
          <w:sz w:val="20"/>
          <w:szCs w:val="20"/>
          <w:color w:val="auto"/>
        </w:rPr>
      </w:pPr>
    </w:p>
    <w:p>
      <w:pPr>
        <w:ind w:right="460"/>
        <w:spacing w:after="0" w:line="289" w:lineRule="auto"/>
        <w:rPr>
          <w:sz w:val="20"/>
          <w:szCs w:val="20"/>
          <w:color w:val="auto"/>
        </w:rPr>
      </w:pPr>
      <w:r>
        <w:rPr>
          <w:rFonts w:ascii="Times New Roman" w:cs="Times New Roman" w:eastAsia="Times New Roman" w:hAnsi="Times New Roman"/>
          <w:sz w:val="17"/>
          <w:szCs w:val="17"/>
          <w:color w:val="auto"/>
        </w:rPr>
        <w:t>The Nuclear Regulatory Commission, or NRC, and the FDA share federal responsibility for the regulation of medical devices, drugs and biological products that utilize radionuclides. In August 1993, the two agencies established a Memorandum of Understanding, or MOU, outlining the respective responsibilities of each agency and identifying ways in which FDA and NRC should coordinate their regulatory actions involving such products.</w:t>
      </w:r>
    </w:p>
    <w:p>
      <w:pPr>
        <w:spacing w:after="0" w:line="1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the MOU, FDA maintains full responsibility for review and approval of radiopharmaceuticals under the FDCA for drugs and the PHSA for biologics. Pursuant to its authority under the Atomic Energy Act, the NRC regulates the medical use of nuclear materials to protect public health and safety and the environment.</w:t>
      </w:r>
    </w:p>
    <w:p>
      <w:pPr>
        <w:spacing w:after="0" w:line="176"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In addition to the MOU, the NRC has issued a Medical Use Policy Statement. It provides that the NRC will: (i) continue to regulate the uses of radionuclides in medicine as necessary to provide for the radiation safety of workers and the general public; (ii) not intrude into medical judgments affecting patients, except as necessary to provide for the radiation safety of workers and the general public; (iii) when justified by the risk to patients, regulate the radiation safety of patients primarily to assure the use of the radionuclides is in accordance with the physician’s directions; and (iv) in developing a specific regulatory approach, consider industry and professional standards that define acceptable approaches for achieving radiation safety.</w:t>
      </w:r>
    </w:p>
    <w:p>
      <w:pPr>
        <w:spacing w:after="0" w:line="1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Consistent with the MOU and to implement its Medical Use Policy, the Commission has established policies and regulations to govern the use, handling and disposal of byproduct materials for medical purposes. Specifically, the Commission regulates the medical use of byproduct material through licensing, inspection and investigation of medical, industrial, academic and commercial facilities and authorization of physician users. These regulations are meant to provide for the radiation safety of workers, the general public, patients, and human research subjects without interfering with treatment protocols established by the physician. To that end, the rules set out procedures and standards to govern the issuance of licenses to facilities seeking to use byproduct material for medical purposes. Medical use licenses are issued by an Agreement State or, in Non-Agreement States, the NRC.</w:t>
      </w:r>
    </w:p>
    <w:p>
      <w:pPr>
        <w:sectPr>
          <w:pgSz w:w="11900" w:h="16838" w:orient="portrait"/>
          <w:cols w:equalWidth="0" w:num="1">
            <w:col w:w="11220"/>
          </w:cols>
          <w:pgMar w:left="320" w:top="116" w:right="359" w:bottom="1440" w:gutter="0" w:footer="0" w:header="0"/>
        </w:sect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Data Privacy Laws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If a sponsor fails to comply with applicable privacy laws, including applicable HIPAA privacy and security standards, it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to potential enforcement by HHS, a sponsor is also potentially subject to privacy enforcement from the Federal Trade Commission, or the FTC. The FTC has been particularly focused on the unpermitted processing of health and genetic data through its recent enforcement actions and is expanding the types of privacy violations that it interprets to be “unfair” under Section 5 of the FTC Act, as well as the types of activities it views to trigger the Health Breach Notification Rule (which the FTC also has the authority to enforce). The agency is also in the process of developing rules related to commercial surveillance and data security. Sponsors will need to account for the FTC’s evolving rules and guidance for proper privacy and data security practices in order to mitigate risk for a potential enforcement action, which may be costly.</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States are also active in creating specific rules relating to the processing of personal information. In 2018, California passed into law the CCPA, which took effect on January 1, 2020 and imposed many requirements on businesses that process the personal information of California residents. Many of the CCPA’s requirements are similar to those found in the GDPR, which is further described below,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November 2020, California voters passed a ballot initiative for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the sole responsibility of which is to enforce the CPRA and other California privacy laws, which will further increase compliance risk.</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to California, at least eighteen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during the 2024 legislative sessions that will go into effect in 2025 and beyond. Other states will be considering similar laws in the future, and Congress has also been debating passing a federal privacy law. There are also states that are specifically regulating health information that may affect our business.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in 2025. These laws may impact our business activities, including our identification of research subjects, relationships with business partners and ultimately the marketing and distribution of our products.</w:t>
      </w:r>
    </w:p>
    <w:p>
      <w:pPr>
        <w:spacing w:after="0" w:line="1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and Approval of Medical Products in the European Union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foreign regulations governing clinical trials and commercial sales and distribution of our products outside of the United States. Whether or not we obtain FDA approval for a product candidate, we must obtain approval by the comparable regulatory authorities of foreign countries or economic areas, such as the 27-member European Union, before we may commence clinical trials or market products in those countries or areas. In the European Union, our product candidates also may be subject to extensive regulatory requirements. As in the United States, medicinal products can be marketed only if a marketing authorization from the competent regulatory agencies has been obtained. Similar to the United States, the various phases of preclinical and clinical research in the European Union are subject to significant regulatory controls.</w:t>
      </w:r>
    </w:p>
    <w:p>
      <w:pPr>
        <w:spacing w:after="0" w:line="18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approval process and requirements governing the conduct of clinical trials, product licensing, pricing, and reimbursement vary greatly from country to country and can involve additional testing and additional administrative review periods. The time required to obtain approval in other countries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Non-clinical Studies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(pharmaco-toxicological) studies must be conducted in compliance with the principles of GLP, as set forth in EU Directive 2004/10/EC (unless otherwise justified for certain particular medicinal products –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Studies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Clinical trials of medicinal products in the European Union must be conducted in accordance with EU and national regulations and the ICH guidelines on GCP, as well as the applicable regulatory requirements and the ethical principles that have their origin in the Declaration of Helsinki. If the sponsor of the clinical trial is not established within the European Union,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European Union has been subject to recent changes. On January 31, 2022, the new Clinical Trials Regulation (EU) No 536/2014 became applicable in the European Union and repealed and replaced the prior Clinical Trials Directive 2001/20/EC. Unlike directives, the new Regulation is directly applicable in all EU member states without the need for member states to further implement it into national law. It aims at simplifying and streamlining the authorization, conduct and transparency of clinical trials in the European Union.</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 new coordinated procedure, the sponsor of a clinical trial to be conducted in more than one member state will only be required to submit a single application. The Regulation allows sponsors to make a single submission to both the competent authority and an ethics committee in each member state, leading to a single decision per member state. The submission will be made through the Clinical Trials Information System, a new clinical trials portal overseen by the EMA and available to clinical trial sponsors, competent authorities of the EU member states and the public.</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Beyond streamlining the process, the new Regulation includes a single set of documents to be prepared and submitted for the application and a harmonized procedure for the assessment of applications for clinical trials, which is divided in two parts. Part I is subject to a coordinated review by competent authorities of all EU member states in which an application for authorization has been submitted (member states concerned). One of the member states concerned (the reporting member state) prepares a draft assessment report which is submitted to other member states concerned for their joint review, allowing for a single assessment report to be issued at the term of the assessment process. Part II is assessed separately by each member state concerned. Strict deadlines have been established for the assessment of clinical trial applications, or CTAs. The role of the relevant ethics committees in the assessment procedure will continue to be governed at national levels; however, overall related timelines are set out under the Clinical Trials Regulation. The Regulation also provides for simplified reporting procedures for clinical trial sponsors.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All ongoing clinical trials in the European Union approved under the prior Clinical Trials Directive must be transitioned to the Clinical Trials Information System by January 31, 2025. This date marks the end of a three-year transition period that began when the Clinical Trials Regulation became applicable in the European Union on January 31, 2022. Clinical trials that were started under the Clinical Trials Directive and are subject to transition to the Clinical Trials Regulation will by January 31, 2025 have to comply with the obligations of the Clinical Trials Regulation even if these are not included in the previous study protocol, such as (i) obligations of notification via the Clinical Trials Information System; (ii) safety reporting rules; (iii) archiving requirement; and (iv) transparency requirements. Failure to transition ongoing clinical trials to the Clinical Trials Regulation by January 31, 2025 can result in corrective measures under Article 77 of the Clinical Trials Regulation, including revocation of the authorization of the clinical trial or suspension of the clinical trial, as well as criminal sanctions and fines under national law of EU Member States.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conducting certain clinical trials must, as in the United States, post clinical trial information in the European Union at the EudraCT website.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Authorization</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order to market our product candidates in the European Union and many other foreign jurisdictions, we must obtain separate regulatory approvals. More concretely, in the European Union, medicinal product candidates can only be commercialized after obtaining a marketing authorization, or MA. To obtain regulatory approval of a product candidate under EU regulatory systems, we must submit a MA application, or MAA. The process for doing this depends, among other things, on the nature of the medicinal product. There are two types of MAs: “Centralized MAs” are issued by the European Commission through the centralized procedure based on the opinion of the Committee for Medicinal Products for Human Use, or CHMP, of the EMA and are valid throughout the European Union. The centralized procedure is compulsory for certain types of medicines such as (i) medicinal products developed by specified biotechnological processes, (ii) products designated orphan medicinal products, (iii) advanced-therapy medicines (such as gene-therapy, somatic cell-therapy or tissue-engineered medicines), and (iv) products with a new active substance indicated for the treatment of specified diseases, such as HIV/AIDS, cancer, diabetes, neurodegenerative disorders or autoimmune diseases, and other immune dysfunctions and viral diseases. The centralized procedure is optional for products containing a new active substance not yet authorized in the European Union, or for products that represent a significant therapeutic, scientific, or technical innovation, or whose authorization would be in the interest of public health.</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an MAA by the EMA is 210 days, excluding clock stops, when additional written or oral information is to be provided by the sponsor in response to questions asked by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150 days, excluding stop-clocks.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“National MAs” are issued by the competent authorities of the EU member states, only cover their respective territory, and are available for product candidates not falling within the mandatory scope of the centralized procedure. Under the mutual recognition procedure, a medicine is first authorized in one EU member state (which acts as the reference member state), in accordance with the national procedures of that member state. Following this, further MAs can be progressively sought from other EU member states in a procedure whereby the member states concerned agree to recognize the validity of the original, national MA produced by the reference member state. Under the decentralized procedure, if the product has not received a national MA in any member state at the time of application, a sponsor may apply for simultaneous authorization in more than one EU member state. Under the decentralized procedure an identical dossier is submitted to the competent authorities of each of the member states in which the MA is sought, one of which is selected by the applicant as the reference member state.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Conditional Marketing Authorization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particular circumstances, a “conditional” MA may be granted in cases where all the required safety and efficacy data are not yet available. A conditional MA is subject to conditions to be fulfilled for generating the missing data or ensuring increased safety measures. Conditional MAs are valid for one year, and may be renewed annually, if the risk-benefit balance remains positive, and after an assessment of the need for additional or modified conditions or specific obligations. Once the pending studies are provided, it can become a “standard” MA. However, if the conditions are not fulfilled within the timeframe set by the EMA, the MA ceases to be renewed. The timelines for the centralized procedure described above also apply with respect to the review by the CHMP of applications for a conditional MA, but sponsors can also request the EMA to conduct an accelerated assessment, for instance in cases of unmet medical needs.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Authorization Granted under Exceptional Circumstances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MA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 is close to the conditional MA as it is reserved to medicinal products to be approved for severe diseases or unmet medical needs and the applicant does not hold the complete data set legally required for the grant of a MA. However, unlike the conditional MA, the applicant does not have to provide the missing data and will never have to. Although the MA “under exceptional circumstances” is granted definitively, the risk-benefit balance of the medicinal product is reviewed annually and the MA is withdrawn in case the risk-benefit ratio is no longer favorable.</w:t>
      </w:r>
    </w:p>
    <w:p>
      <w:pPr>
        <w:spacing w:after="0" w:line="19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Under the above-described procedures, before granting the MA, the EMA or the competent authorities of the member states make an assessment of the risk-benefit balance of the product on the basis of scientific criteria concerning its quality, safety, and efficacy. Except conditional MAs, MAs have an initial duration of five years. After these five years, the authorization may be renewed on the basis of a reevaluation of the risk-benefit balance.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Studies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Prior to obtaining a marketing authorization in the European Union, sponsors have to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The respective requirements for all marketing authorization procedures are set forth in Regulation (EC) No 1901/2006, which is referred to as the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in children until there is enough information to demonstrate its effectiveness and safety in adults. The PDCO may also grant waivers when development of a medicine in children is not needed or is not appropriate because (i) the product is likely to be ineffective or unsafe in part or all of the pediatric population; (ii) the disease or condition occurs only in adult population; or (iii) the product does not represent a significant therapeutic benefit over existing treatments for pediatric population. Before a marketing authorization application can be filed, or an existing marketing authorization can be amended, the EMA determines that companies actually comply with the agreed studies and measures listed in each relevant PIP.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PRIME Designation</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agency contact and rapporteur from the CHMP or Committee for Advanced Therapies are appointed early in the PRIME scheme, facilitating increased understanding of the product at EMA’s Committee level. A kick-off meeting initiates these relationships and includes a team of multidisciplinary experts at the EMA to provide guidance to the sponsor on the overall development and regulatory strategies.</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Periods of Authorization and Renewals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 marketing authorization is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Any authorization which is not followed by the actual placing of the drug on the EU market (in case of centralized procedure) or on the market of the authorizing member state within three years after authorization ceases to be valid (the so-called sunset clause).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Exclusivity</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European Union, new products authorized for marketing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reference products) qualify for eight years of data exclusivity and an additional two years of market exclusivity upon marketing authorization. The data exclusivity period prevents generic sponsors from relying on the preclinical and clinical trial data contained in the dossier of the reference product when applying for a generic marketing authorization in the European Union during a period of eight years from the date on which the reference product was first authorized in the European Union. The market exclusivity period prevents a successful generic sponsor from commercializing its product in the European Union until ten years have elapsed from the initial authorization of the reference product in the European Union. The ten-year market exclusivity period can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or clinical trials must be provided, and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European Union.</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this context, it should be noted that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was published in April 2023 and includes, among other things, provisions that would potentially reduce the duration of regulatory data protection. The European Parliament requested several amendments in April 2024. At this time,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in the long term, if and when adopted.</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However, guidance from the EMA states that they will be considered in the future in light of the scientific knowledge and regulatory experience gained at the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European Union are similar in principle to those in the United States. Under Article 3 of Regulation (EC) 141/2000, a medicinal product may be designated as orphan if (i) it is intended for the diagnosis, prevention, or treatment of a life-threatening or chronically debilitating condition, (ii) either (a) such condition affects no more than five in 10,000 persons in the European Union when the application is made, or (b) the product, without the benefits derived from orphan status, would not generate sufficient return in the European Union to justify investment, and (iii) there exists no satisfactory method of diagnosis, prevention or treatment of such condition authorized for marketing in the European Union, or if such a method exists, the product will be of significant benefit to those affected by the condition. The term ‘significant benefit’ is defined in Regulation (EC) 847/2000 to mean a clinically relevant advantage or a major contribution to patient care.</w:t>
      </w:r>
    </w:p>
    <w:p>
      <w:pPr>
        <w:spacing w:after="0" w:line="18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Orphan medicinal products are eligible for financial incentives such as reduction of fees or fee waivers and are, upon grant of a marketing authorization, entitled to ten years of market exclusivity for the approved therapeutic indication. During this ten year market exclusivity period, the EMA or the competent authorities of the Member States of the European Economic Area, or the EEA, cannot accept an application for a marketing authorization for a similar medicinal product for the same indication. A similar medicinal product is defined as a medicinal product containing a similar active substance or substances as contained in an authorized orphan medicinal product, and which is intended for the same therapeutic indication. The application for orphan designation must be submitted before the application for marketing authorization. The sponsor will receive a fee reduction for the MAA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ten-year market exclusivity in the European Union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(i) the second sponsor can establish that its product, although similar, is safer, more effective, or otherwise clinically superior; (ii) the sponsor consents to a second orphan medicinal product application; or (iii) the sponsor cannot supply enough orphan medicinal product.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Exclusivity</w:t>
      </w:r>
    </w:p>
    <w:p>
      <w:pPr>
        <w:spacing w:after="0" w:line="22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If a sponsor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 or SPC, or alternatively a one year extension of the regulatory market exclusivity from ten to eleven years, as selected by the marketing authorization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in the United States, both MA holders and manufacturers of medicinal products are subject to comprehensive regulatory oversight by the EMA, the European Commission, and the competent authorities of EU member states. The MA holder must, for example, comply with EU pharmacovigilance legislation and its related regulations and guidelines which entail many requirements for conducting pharmacovigilance, or the assessment and monitoring of the safety of medicinal products. In particular, the MA holder must establish and maintain a pharmacovigilance system and appoint an individual qualified person for pharmacovigilance, or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or PSURs.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new MAs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manufacturing process for medicinal products in the European Union is also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including compliance with EU GMP standards when manufacturing medicinal products and API.</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European Union, the advertising and promotion of approved products are subject to laws governing promotion of medicinal products, interactions with physicians, misleading and comparative advertising, and unfair commercial practices. These laws require that promotional materials and advertising in relation to medicinal products comply with the product’s Summary of Product Characteristics, or SmPC, as approved by the competent authorities. Promotion of a medicinal product that does not comply with the SmPC is considered to constitute off-label promotion, which is prohibited in the European Union. Direct-to-consumer advertising of prescription medicines is also prohibited in the European Union. Although general requirements for advertising and promotion of medicinal products are established under EU directives, the details are governed by regulations in each member state and can differ from one country to another.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EEA.</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Supplementary Protection Certificate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European Union also provides for patent term extension through SPCs. The rules and requirements for obtaining a SPC are similar to those in the United States. An SPC may extend the term of a patent for up to five years after its originally scheduled expiration date and can provide up to a maximum of 15 years of marketing exclusivity for a drug. In certain circumstances, these periods may be extended for six additional months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“Pediatric Development”).</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Although SPCs are available throughout the European Union, sponsors must apply on a country-by-country basis. Similar patent term extension rights exist in certain other foreign jurisdictions outside the European Union.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and Pricing of Prescription Pharmaceuticals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international markets including the European Union, reimbursement and healthcare payment systems vary significantly by country, and many countries have instituted price ceilings on specific products and therapies. In the European Union, pricing and reimbursement schemes vary widely from country to country. Some countries may require the completion of additional studies that compare the cost-effectiveness of a particular medicinal product candidate to currently available therapies. This Health Technology Assessment, or HTA, process, which is currently governed by the national laws of the individual EU member states,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downward pressure on healthcare costs in general, particularly prescription medicines, has become very intense.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 Historically, products launched in the European Union do not follow price structures of the United States and generally prices tend to be significantly lower.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In the European Union, similar political, economic, and regulatory developments to those in the United States may affect our ability to profitably commercialize our product candidates, if approved. In many countries, including those of the European Union, the pricing of prescription pharmaceuticals is subject to governmental control and access. In these countries, pricing negotiations with governmental authorities can take considerable time after the receipt of a marketing approval for a product. To obtain reimbursement or pricing approval in some countries, pharmaceutical firms may be required to conduct a clinical trial that compares the cost-effectiveness of the product to other available therapies. In addition to continuing pressure on prices and cost containment measures, legislative developments at the EU or member state level may result in significant additional requirements or obstacles. 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the ability of pharmaceutical companies to commercialize their products. In international markets, reimbursement and healthcare payment systems vary significantly by country, and many countries have instituted price ceilings on specific products and therapies.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European Union, potential reductions in prices and changes in reimbursement levels could be the result of different factors, including reference pricing used by various EU member states, and parallel distribution and parallel trade can further reduce prices. It could also result from the application of external reference pricing mechanisms, which consist of arbitrage between low-priced and high-priced member states). There can be no assurance that any country that has price controls or reimbursement limitations for pharmaceutical products will allow favorable reimbursement and pricing arrangements for any product candidates, if approved in those countries.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HTA of medicinal products in the European Union is an essential element of the pricing and reimbursement decision-making process in a number of EU member states. The outcome of HTA has a direct impact on the pricing and reimbursement status granted to the medicinal product. A negative HTA by a leading and recognized HTA body concerning a medicinal product could undermine the prospects to obtain reimbursement for such product not only in the EU member state in which the negative assessment was issued, but also in other EU member states.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2011, Directive 2011/24/EU was adopted at the EU level. This Directive establishes a voluntary network of national authorities or bodies responsible for HTA in the individual EU member states. The network facilitates and supports the exchange of scientific information concerning HTAs. Further to this, on December 13, 2021, Regulation No 2021/2282 on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 level for joint clinical assessments in these areas. It will permit EU member states to use common HTA tools, methodologies, and procedures across the European Union,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Individual EU member states will continue to be responsible for assessing non-clinical (e.g., economic, social, ethical) aspects of health technology, and making decisions on pricing and reimbursement.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Devices in the European Union</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European Union has adopted specific directives and regulations regulating the design, manufacture, clinical investigation, conformity assessment, labeling and adverse event reporting for medical devices. Until May 25, 2021, medical devices were regulated by the EU Medical Devices Directive, or MDD, which has been repealed and replaced by the EU Medical Devices Regulation, or MDR. However, as of May 26, 2021, some of the MDR requirements apply in place of the corresponding requirements of the MDD with regard to registration of economic operators and of devices, post-market surveillance and vigilance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Medical Devices Directive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MDD, all medical devices placed on the market in the European Union must meet the essential requirements laid down in Annex I to the MDD,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and the aforementioned EU rules is generally applicable in the EEA.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Medical Devices Regulation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regulatory landscape related to medical devices in the European Union recently evolved. On April 5, 2017, the MDR was adopted with the aim of ensuring better protection of public health and patient safety. The MDR establishes a uniform, transparent, predictable and sustainable regulatory framework across the European Union for medical devices and ensure a high level of safety and health while supporting innovation. Unlike the MDD, the MDR is directly applicable in EU member states without the need for member states to implement into national law. This aims at increasing harmonization across the European Union.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MDR became effective on May 26, 2021. In accordance with its recently extended transitional provisions, both (i) devices lawfully placed on the market pursuant to the MDD prior to May 26, 2021 and (ii) legacy devices lawfully placed on the EU market after May 26, 2021 in accordance with the MDR transitional provisions may generally continue to be made available on the market or put into service, provided that the requirements of the transitional provisions are fulfilled. However, even in this case, manufacturers must comply with a number of new or reinforced requirements set forth in the MDR, in particular the obligations described below.</w:t>
      </w:r>
    </w:p>
    <w:p>
      <w:pPr>
        <w:spacing w:after="0" w:line="18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MDR requires that before placing a device, other than a custom-made device, on the market,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 person or persons responsible for regulatory compliance. The new Regulation also requires that before placing a device, other than a custom-made device, on the market, manufacturers must assign a unique identifier to the device and provide it along with other core data to the unique device identifier, or UDI, database. These new requirements aim at ensuring better identification and traceability of the devices. Each device – and as applicable, each package – will have a UDI composed of two parts: a device identifier, or UDI-DI, specific to a device, and a production identifier, or UDI-PI, to identify the unit producing the device. Manufacturers are also notably responsible for entering the necessary data on Eudamed, which includes the UDI database, and for keeping it up to date.</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manufacturers placing medical devices on the market in the European Union must comply with the EU medical device vigilance system which has been reinforced by the MDR. Under this system, serious incidents and Field Safety Corrective Actions, or FSCAs, must be reported to the relevant authorities of the EU member states. These reports will have to be submitted through Eudamed – once functional – and aim to ensure that, in addition to reporting to the relevant authorities of the EU member states, other actors such as the economic operators in the supply chain will also be informed. Until Eudamed is fully functional, the corresponding provisions of the MDD continue to apply. Manufacturers are required to take FSCAs, which are defined as any corrective action for technical or medical reasons to prevent or reduce a risk of a serious incident associated with the use of a medical device that is made available on the market. A serious incident is any malfunction or deterioration in the characteristics or performance of a device on the market (e.g., inadequacy in the information supplied by the manufacturer, undesirable side-effect), which, directly or indirectly, might lead to either the death or serious deterioration of the health of a patient, user, or other persons, or to a serious public health threat.</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An FSCA may include the recall, modification, exchange, destruction or retrofitting of the device. FSCAs must be communicated by the manufacturer or its legal representative to its customers and/or to the end users of the device through Field Safety Notices.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spacing w:after="0" w:line="180"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The advertising and promotion of medical devices are subject to some general principles set forth in EU legislation. According to the MDR, only devices that are CE marked may be marketed and advertised in the European Union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w:t>
      </w:r>
    </w:p>
    <w:p>
      <w:pPr>
        <w:spacing w:after="0" w:line="3" w:lineRule="exact"/>
        <w:rPr>
          <w:sz w:val="20"/>
          <w:szCs w:val="20"/>
          <w:color w:val="auto"/>
        </w:rPr>
      </w:pPr>
    </w:p>
    <w:p>
      <w:pPr>
        <w:jc w:val="both"/>
        <w:ind w:right="400"/>
        <w:spacing w:after="0" w:line="255" w:lineRule="auto"/>
        <w:rPr>
          <w:sz w:val="20"/>
          <w:szCs w:val="20"/>
          <w:color w:val="auto"/>
        </w:rPr>
      </w:pPr>
      <w:r>
        <w:rPr>
          <w:rFonts w:ascii="Times New Roman" w:cs="Times New Roman" w:eastAsia="Times New Roman" w:hAnsi="Times New Roman"/>
          <w:sz w:val="18"/>
          <w:szCs w:val="18"/>
          <w:color w:val="auto"/>
        </w:rPr>
        <w:t>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1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European Union, regulatory authorities have the power to carry out announced and, if necessary, unannounced inspections of companies, as well as suppliers and/or sub-contractors and, where necessary, the facilities of professional users. Failure to comply with regulatory requirements (as applicable) could require time and resources to respond to the regulatory authorities’ observations and to implement corrective and preventive actions, as appropriate. Regulatory authorities have broad compliance and enforcement powers and if such issues cannot be resolved to their satisfaction can take a variety of actions, including untitled or warning letters, fines, consent decrees, injunctions, or civil or criminal penalties.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EEA.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 General Data Protection Regulation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regarding individuals in the EEA, including personal health data, is subject to the GDPR, which became effective on May 25, 2018. In the United Kingdom, the GDPR is retained in domestic law as the U.K. GDPR and sits alongside an amended version of the U.K. Data Protection Act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of the respective group of companies, whichever is greater.</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transfers of personal data from the European Union to the United States, the European Commission has adopted an adequacy decision for the EU-US Data Privacy Framework in in July 2023. It is widely expected that this adequacy decision will be challenged in court, so uncertainties around this issue continue.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United Kingdom’s withdrawal from the European Union, commonly referred to as Brexit, took place on January 31, 2020. The European Union and the United Kingdom reached an agreement on their new partnership in the Trade and Cooperation Agreement, which entered into force on May 1, 2021. As of January 1, 2021, the MHRA became responsible for supervising medicines and medical devices in Great Britain, comprising England, Scotland and Wales under domestic law, whereas Northern Ireland continues to be subject to EU rules under the Northern Ireland Protocol, as amended by the so called Windsor Framework agreed in February 2023. As of January 1, 2025, the changes introduced by the Windsor Framework resulted in the MHRA being responsible for approving all medicinal products destined for the United Kingdom market (Great Britain and Northern Ireland), and the EMA will no longer have any role in approving medicinal products destined for Northern Ireland. The MHRA relies on the Human Medicines Regulations 2012 (SI 2012/1916), as amended, or the HMR, as the basis for regulating medicines. The HMR has incorporated into the domestic law the body of EU law instruments governing medicinal products that pre-existed prior to the United Kingdom’s withdrawal from the European Union.</w:t>
      </w:r>
    </w:p>
    <w:p>
      <w:pPr>
        <w:spacing w:after="0" w:line="18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As of January 1, 2024 on, a new IRP applies which intends to facilitate approval of pharmaceutical products in the United Kingdom. The IRP is open to applicants that have already received an authorization for the same product from one of the MHRA’s specified RRs. The RRs notably include EMA and regulators in the EEA member states for approvals in the EU centralized procedure and mutual recognition procedure as well as the FDA (for product approvals granted in the United States). The RR assessment must have undergone a full and standalone review. RR assessments based on reliance or recognition cannot be used to support an IRP application. A CHMP positive opinion or an MRDC positive end of procedure outcome is an RR authorization for the purposes of IRP.</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EU laws which have been transposed into U.K. law through secondary legislation continue to be applicable as “retained EU law.” However, new legislation such as the (EU) Clinical Trials Regulation will not be applicable in GB. Since a significant proportion of the regulatory framework for pharmaceutical products in the United Kingdom covering the quality, safety, and efficacy of pharmaceutical products, clinical trials, MAs, commercial sales, and distribution of pharmaceutical products is derived from EU directives and regulations, Brexit may have a material impact upon the regulatory regime with respect to the development, manufacture, importation, approval, and commercialization of our product candidates in the United Kingdom. For example, the United Kingdom is no longer covered by the centralized procedures for obtaining EU-wide MAs from the EMA, and a separate MA will be required to market our product candidates in the United Kingdom. A new international recognition framework has been in place since January 1, 2024, whereby the MHRA will have regard to decisions on the approval of MAs made by the EMA and certain other regulators when determining an application for a new GB MA.</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medical device regulatory framework in GB continues to be broadly based on the requirements of the (EU) MDD as implemented into national law. On June 26, 2022, the MHRA published its response to a 10-week consultation on the future regulation of medical devices in the U.K. Regulations implementing the new regime were originally scheduled to come into force in July 2023, but the MHRA has confirmed that the core elements of the new framework are now expected to be in place in 2025, while priority measures to enhance post-market surveillance will be put in place first in 2024. Medical devices bearing CE marks issued by EU notified bodies under the (EU) MDR or (EU) MDD are now subject to transitional arrangements. Devices certified under the (EU) MDR may be placed on the market in GB under the CE mark until June 30, 2030. However, devices certified under the (EU) MDD may be placed on the market until June 30, 2028. Following these transitional periods, it is anticipated that all medical devices will require a U.K. Conformity Assessed, or UKCA, mark. Manufacturers may choose to use the UKCA mark on a voluntary basis prior to the mandatory deadlines.</w:t>
      </w:r>
    </w:p>
    <w:p>
      <w:pPr>
        <w:spacing w:after="0" w:line="1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However, UKCA marking will not be recognized in the European Union. Following the transitional periods, compliance with the U.K. regulations will be a prerequisite to be able to affix the UKCA mark to medical devices, without which they cannot be sold or marketed in GB.</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new regulations applicable in GB now require that all medical devices must be registered with the MHRA prior to being placed on the market. Additionally, manufacturers based outside the United Kingdom will need to appoint a U.K. Responsible Person to register devices with the MHRA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2024, we had 535 full-time employees and 19 part-time employees. Of our 554 full and part-time employees, 21% have Ph.D. or M.D. degrees and 73% have graduate or post-graduate qualifications. 39% of our employees are engaged in research and development activities and 43% are engaged in commercialization activities. 18% are engaged in global services activities including finance, legal, risk, people and culture, information technology.</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We support our employees by offering annual performance-based bonus, equity-based incentive program, employee assistance programs, paid wellness days, hybrid work arrangements and support for learning and development.</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We are not currently a party to any material legal proceedings or investigations worldwide. From time to time, we may become involved in other litigation or legal proceedings particularly relevant to defending our IP rights or in response to any relating to claims arising from the ordinary course of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do not believe that seasonal influences have had a material effect on our business, financial condition, or results of operations. The target disease indications for Illuccix and our other product candidates are not seasonal diseases.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Accordingly, once we have successfully obtained regulatory approvals to commercialize our other product candidates, if ever, we do not anticipate that our business will be materially affected by seasonal influences in the future.</w:t>
      </w:r>
    </w:p>
    <w:p>
      <w:pPr>
        <w:spacing w:after="0" w:line="3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400" w:hanging="392"/>
        <w:spacing w:after="0"/>
        <w:tabs>
          <w:tab w:leader="none" w:pos="40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out for each of our subsidiaries, the state or jurisdiction of incorporation or organization, percentage ownership and voting interest held by us (directly or indirectly through subsidiaries):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State or Jurisdiction of</w:t>
            </w:r>
          </w:p>
        </w:tc>
        <w:tc>
          <w:tcPr>
            <w:tcW w:w="100" w:type="dxa"/>
            <w:vAlign w:val="bottom"/>
          </w:tcPr>
          <w:p>
            <w:pPr>
              <w:spacing w:after="0"/>
              <w:rPr>
                <w:sz w:val="18"/>
                <w:szCs w:val="18"/>
                <w:color w:val="auto"/>
              </w:rPr>
            </w:pP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6"/>
        </w:trPr>
        <w:tc>
          <w:tcPr>
            <w:tcW w:w="77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7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Incorporation or</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Ownership and</w:t>
            </w:r>
          </w:p>
        </w:tc>
      </w:tr>
      <w:tr>
        <w:trPr>
          <w:trHeight w:val="245"/>
        </w:trPr>
        <w:tc>
          <w:tcPr>
            <w:tcW w:w="7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100" w:type="dxa"/>
            <w:vAlign w:val="bottom"/>
            <w:tcBorders>
              <w:bottom w:val="single" w:sz="8" w:color="CCEEFF"/>
            </w:tcBorders>
          </w:tcPr>
          <w:p>
            <w:pPr>
              <w:spacing w:after="0"/>
              <w:rPr>
                <w:sz w:val="21"/>
                <w:szCs w:val="21"/>
                <w:color w:val="auto"/>
              </w:rPr>
            </w:pPr>
          </w:p>
        </w:tc>
        <w:tc>
          <w:tcPr>
            <w:tcW w:w="17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Organization</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Voting Interest (%)</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Holdings Pty Ltd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50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96"/>
              </w:rPr>
              <w:t>100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Telix Pharmaceuticals International Holdings Pty Ltd</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Australia</w:t>
            </w:r>
          </w:p>
        </w:tc>
        <w:tc>
          <w:tcPr>
            <w:tcW w:w="160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Australia Holdings Pty Ltd</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Australia</w:t>
            </w:r>
          </w:p>
        </w:tc>
        <w:tc>
          <w:tcPr>
            <w:tcW w:w="160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Telix Pharmaceuticals (Innovations) Pty Ltd</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Australia</w:t>
            </w:r>
          </w:p>
        </w:tc>
        <w:tc>
          <w:tcPr>
            <w:tcW w:w="160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(ANZ) Pty Ltd</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Australia</w:t>
            </w:r>
          </w:p>
        </w:tc>
        <w:tc>
          <w:tcPr>
            <w:tcW w:w="160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Telix Pharmaceuticals (Corporate) Pty Ltd</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Australia</w:t>
            </w:r>
          </w:p>
        </w:tc>
        <w:tc>
          <w:tcPr>
            <w:tcW w:w="160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(NZ) Limited</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New Zealand</w:t>
            </w:r>
          </w:p>
        </w:tc>
        <w:tc>
          <w:tcPr>
            <w:tcW w:w="160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Telix Pharma Japan KK</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Japan</w:t>
            </w:r>
          </w:p>
        </w:tc>
        <w:tc>
          <w:tcPr>
            <w:tcW w:w="160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(Singapore) Pte Ltd</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Singapore</w:t>
            </w:r>
          </w:p>
        </w:tc>
        <w:tc>
          <w:tcPr>
            <w:tcW w:w="160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Telix Pharmaceuticals (US) Inc.</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Delaware</w:t>
            </w:r>
          </w:p>
        </w:tc>
        <w:tc>
          <w:tcPr>
            <w:tcW w:w="160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Optimal Tracers LLC</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Delaware</w:t>
            </w:r>
          </w:p>
        </w:tc>
        <w:tc>
          <w:tcPr>
            <w:tcW w:w="160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Telix Pharmaceuticals (Canada) Inc.</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Canada</w:t>
            </w:r>
          </w:p>
        </w:tc>
        <w:tc>
          <w:tcPr>
            <w:tcW w:w="160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Innovations SA</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Belgium</w:t>
            </w:r>
          </w:p>
        </w:tc>
        <w:tc>
          <w:tcPr>
            <w:tcW w:w="160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Telix Pharmaceuticals (Germany) GmbH</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Germany</w:t>
            </w:r>
          </w:p>
        </w:tc>
        <w:tc>
          <w:tcPr>
            <w:tcW w:w="160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(Switzerland) GmbH</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Switzerland</w:t>
            </w:r>
          </w:p>
        </w:tc>
        <w:tc>
          <w:tcPr>
            <w:tcW w:w="160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Telix Pharmaceuticals (Belgium) SRL</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Belgium</w:t>
            </w:r>
          </w:p>
        </w:tc>
        <w:tc>
          <w:tcPr>
            <w:tcW w:w="160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Dedicaid GmbH in Liqu.</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Austria</w:t>
            </w:r>
          </w:p>
        </w:tc>
        <w:tc>
          <w:tcPr>
            <w:tcW w:w="160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Lightpoint Surgical Ltd</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United Kingdom</w:t>
            </w:r>
          </w:p>
        </w:tc>
        <w:tc>
          <w:tcPr>
            <w:tcW w:w="160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Lightpoint Surgical Spain S.L.</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Spain</w:t>
            </w:r>
          </w:p>
        </w:tc>
        <w:tc>
          <w:tcPr>
            <w:tcW w:w="160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Rhine Pharma GmbH</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Germany</w:t>
            </w:r>
          </w:p>
        </w:tc>
        <w:tc>
          <w:tcPr>
            <w:tcW w:w="160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Therapeia GmbH &amp; Co. KG</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Germany</w:t>
            </w:r>
          </w:p>
        </w:tc>
        <w:tc>
          <w:tcPr>
            <w:tcW w:w="160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Therapeia Verwaltungs-GmbH</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Germany</w:t>
            </w:r>
          </w:p>
        </w:tc>
        <w:tc>
          <w:tcPr>
            <w:tcW w:w="160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(France) SAS</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France</w:t>
            </w:r>
          </w:p>
        </w:tc>
        <w:tc>
          <w:tcPr>
            <w:tcW w:w="160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Telix Pharmaceuticals (UK) Ltd</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United Kingdom</w:t>
            </w:r>
          </w:p>
        </w:tc>
        <w:tc>
          <w:tcPr>
            <w:tcW w:w="160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IsoTherapeutics Group Inc.</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Delaware</w:t>
            </w:r>
          </w:p>
        </w:tc>
        <w:tc>
          <w:tcPr>
            <w:tcW w:w="160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Telix ARTMS Inc.</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Canada</w:t>
            </w:r>
          </w:p>
        </w:tc>
        <w:tc>
          <w:tcPr>
            <w:tcW w:w="160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ARTMS US, Inc.</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Delaware</w:t>
            </w:r>
          </w:p>
        </w:tc>
        <w:tc>
          <w:tcPr>
            <w:tcW w:w="160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Telix QSAM, Inc.</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Delaware</w:t>
            </w:r>
          </w:p>
        </w:tc>
        <w:tc>
          <w:tcPr>
            <w:tcW w:w="160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QSAM Therapeutics Inc.</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Texas</w:t>
            </w:r>
          </w:p>
        </w:tc>
        <w:tc>
          <w:tcPr>
            <w:tcW w:w="160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  100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Telix Innovations RPH Participações Ltda.</w:t>
            </w:r>
          </w:p>
        </w:tc>
        <w:tc>
          <w:tcPr>
            <w:tcW w:w="1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160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RLS (USA), Inc.</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160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Las Vegas Radiopharmacy, Inc.</w:t>
            </w:r>
          </w:p>
        </w:tc>
        <w:tc>
          <w:tcPr>
            <w:tcW w:w="1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160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Targeting Technologies, Inc.</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160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Property, Plants and Equipment</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Our principal headquarters are located in Melbourne, Australia where we lease office space. We also maintain offices in Sydney and Brisbane Australia, in Brussels, Herstal (near Liège) and South Brussels, Belgium, in Geneva, Switzerland, in Kyoto, Japan, in Indianapolis, Indiana, Sacramento, California and Angleton, Texas, and in Vancouver, Canada. We believe that our current facilities are adequate to meet our ongoing needs and that, if we require additional space, we will be able to obtain additional facilities on commercially reasonable terms.</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property, plant and equipment, see Note 16 to our audited consolidated financial statements included elsewhere in this annual report.</w:t>
      </w:r>
    </w:p>
    <w:p>
      <w:pPr>
        <w:spacing w:after="0" w:line="15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are based upon and should be read together with our consolidated financial statements and the accompanying notes and other financial information included elsewhere in this annual report. This discussion includes both historical information and forward-looking information based upon current expectations that involve risk, uncertainties and assumptions. Our actual results may differ materially from management’s expectations as a result of various factors, including, but not limited to, those discussed in “Item 3. Key Information — D. Risk Factors” and elsewhere in this annual report.</w:t>
      </w:r>
    </w:p>
    <w:p>
      <w:pPr>
        <w:spacing w:after="0" w:line="183"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Our audited consolidated financial statements as of December 31, 2024 and 2023 and for the years ended December 31, 2024, 2023 and 2022 have been prepared in accordance with IFRS Accounting Standards as issued by the IASB.</w:t>
      </w:r>
    </w:p>
    <w:p>
      <w:pPr>
        <w:spacing w:after="0" w:line="156" w:lineRule="exact"/>
        <w:rPr>
          <w:sz w:val="20"/>
          <w:szCs w:val="20"/>
          <w:color w:val="auto"/>
        </w:rPr>
      </w:pPr>
    </w:p>
    <w:p>
      <w:pPr>
        <w:ind w:right="9440" w:firstLine="8"/>
        <w:spacing w:after="0" w:line="503" w:lineRule="auto"/>
        <w:tabs>
          <w:tab w:leader="none" w:pos="391"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 Overview</w:t>
      </w:r>
    </w:p>
    <w:p>
      <w:pPr>
        <w:spacing w:after="0" w:line="256"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development and commercialization of therapeutic and diagnostic radiopharmaceuticals. Our mission is to be the global leader in radiopharmaceuticals by combining therapeutic and diagnostic modalities for the benefit of patients, an innovative precision medicine concept generally referred to as “theranostics.” We have an extensive pipeline of theranostic radiopharmaceutical product candidates with a focus in urologic oncology (prostate, kidney and bladder), neuro-oncology (glioma), musculoskeletal oncology (sarcoma) and hematology. Our theranostic approach is intended to use imaging and therapy together to “see and treat” cancer and rare diseases, to both better inform treatment decisions and deliver personalized therapy for patients.</w:t>
      </w:r>
    </w:p>
    <w:p>
      <w:pPr>
        <w:spacing w:after="0" w:line="178"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 xml:space="preserve">Our prostate cancer portfolio includes Illuccix, our commercially available </w:t>
      </w:r>
      <w:r>
        <w:rPr>
          <w:rFonts w:ascii="Times New Roman" w:cs="Times New Roman" w:eastAsia="Times New Roman" w:hAnsi="Times New Roman"/>
          <w:sz w:val="29"/>
          <w:szCs w:val="29"/>
          <w:color w:val="auto"/>
          <w:vertAlign w:val="superscript"/>
        </w:rPr>
        <w:t>68</w:t>
      </w:r>
      <w:r>
        <w:rPr>
          <w:rFonts w:ascii="Times New Roman" w:cs="Times New Roman" w:eastAsia="Times New Roman" w:hAnsi="Times New Roman"/>
          <w:sz w:val="18"/>
          <w:szCs w:val="18"/>
          <w:color w:val="auto"/>
        </w:rPr>
        <w:t>Ga-labelled PSMA prostate cancer imaging agent. Illuccix was approved by the TGA in November 2021, the FDA in December 2021, Health Canada in October 2022, and the Danish Medicines Agency and the United Kingdom Medicines and Healthcare Products Regulatory Agency, or MHRA, in February 2025. We have built a highly effective, specialist commercial team, which we believe has been integral to the commercial success of Illuccix to date. As of December 31, 2024, we have generated A$1.4 billion in revenue from product sales of Illuccix since the commercial launch in April 2022 and 99% of this revenue has been generated from sales in the United States. The revenues generated from sales of Illuccix, the costs associated with such sales and our operating and other expenses resulted in a profit of A$49.9 million and A$5.2 million for the years ended December 31, 2024 and 2023, respectively. In the year ended December 31, 2022, which was the year of the commercial launch of Illuccix, we had a loss of A$104.1 million.</w:t>
      </w:r>
    </w:p>
    <w:p>
      <w:pPr>
        <w:spacing w:after="0" w:line="201"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intend to leverage our commercial revenues as a source of funding for the development of additional therapeutic and diagnostic product candidates in our pipeline. These product candidates include TLX591, a therapeutic rADC, being evaluated in a Phase 3 clinical trial for the treatment of patients with prostate cancer and three innovative imaging agents, TLX250-CDx for kidney (renal) cancer, TLX101-CDx for brain (glioma) cancer and TLX007-CDx for prostate cancer.</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Beyond these programs, we are developing a pipeline of therapeutic product candidates with an initial focus on large oncology indications, as well as rare diseases, which represent areas of high unmet medical need. This includes two additional therapeutic radiopharmaceutical candidates that are being evaluated in Phase 2 clinical trials, TLX250, a late-stage product candidate for the treatment of kidney cancer, and TLX101 for the treatment of brain cancer, each of which we are developing as an integrated theranostic with the corresponding investigational imaging agent.</w:t>
      </w:r>
    </w:p>
    <w:p>
      <w:pPr>
        <w:spacing w:after="0" w:line="180"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Our ordinary shares have been listed on the ASX since 2017. Our corporate headquarters is located in Melbourne, Australia and we have regional operations in Sydney and Brisbane, Australia. We have international operations in Belgium, Canada, Japan, Switzerland, and the United States.</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operations have been financed primarily through cash generated by our commercial operations and the issuance and sale of ordinary shares. As of December 31, 2024, we had cash and cash equivalents of A$710.3 million and accumulated losses of A$213.0 million. We have raised aggregate proceeds of A$272.9 million (before deducting share issuance costs) between January 1, 2018 and December 31, 2024 from the issuance and sale of new ordinary shares. We have also received an aggregate of A$52.4 million between January 1, 2018 and December 31, 2024 under the Australian government’s R&amp;D Tax Incentive Scheme for the funding of the development and clinical trials of new products. In July 2024, we issued and sold A$650.0 million of Convertible Bonds and received net proceeds of A$635.0 million.</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total comprehensive income was A$92.6 million for the year ended December 31, 2024. Our total comprehensive loss was A$0.5 million and A$103.5 million for the years ended December 31, 2023 and 2022, respectively. We expect our expenses to increase as we continue our development of, and seek regulatory approvals for, our product candidates, as well as hire additional personnel, pay fees to outside consultants, lawyers and accountants, and incur other increased costs associated with being a public company in the United States. In addition, if and when we seek and obtain regulatory approval to commercialize additional product candidates, we will also incur increased expenses in connection with commercialization and marketing of any such product. Our total comprehensive income or loss may fluctuate significantly from period-to-period, depending on the timing of our clinical trials and our expenditures on other research and development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and financial performance have been, and will continue to be, affected by a number of important factors, including the following: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Acquisitions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expanded our pipeline of product candidates through strategic acquisitions. Supporting our growth strategy through acquisitions continues to be key to strengthening our global supply chain, enhancing our ability to serve patients in all global markets, developing our production expertise through in-house manufacturing and leveraging our capabilities to identify and develop novel targets, clinical applications and manufacturing technologies for our future pipeline. We have pursued and plan to continue pursuing strategic acquisitions and partnerships to further advance and expand our pipeline, scale our production and leverage the expertise and effort of our team.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Successful Commercialization of Our Product Portfolio</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financial performance is dependent on our ability to manage and develop our business model and global presence to support the commercialization of existing and future products. Commercial sales of Illuccix have had a significant impact on revenue in the prior and current periods, and the successful continued commercialization of Illuccix continues to determine our ability to generate product revenue. Successful commercialization includes the receipt of regulatory approvals, successful product launches, the ability to supply and sell products to customers and the ability to obtain adequate reimbursement coding coverage and payments for products. Success in each of these areas is essential to our ability to realize and retain value from our product portfolio. The ongoing commercial success of Illuccix and any other products for which we obtain regulatory approval will also depend in part on the impact of new and existing competitive products in the market and our ability to continue to drive market growth.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and Funding of Product Pipeline</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developed a strong research and innovation team and strategy to continuously identify and progress early development on a broad pipeline of pre-clinical and clinical assets. While increased product development activity in a given period results in increases in operating expenses, our long-term sustainable viability is also determined by our ability to continue successfully identifying, developing and funding a pipeline of products capable of commercialization. Our growth in revenue from the commercialization of our assets will affect the amount of funding available for the development of our core pipeline. Our ability to be successful in this area in the context of a dynamic and changing competitive landscape will also be dependent on the protection of our intellectual property 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Resilience</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Nuclear medicine products and technologies have inherently complex manufacturing, supply and logistics chains. We are dependent on third parties for the manufacture and supply of a substantial portion of our commercialized products and our products in development. We have dual supply surety where possible and continue to seek viable and sustainable opportunities for supply chain integration, including the acquisition and development of in-house manufacturing capability at our Brussels South, IsoTherapeutics, Optimal Tracers and ARTMS facilities. The impact of expenses or losses attributable to supply chain disruptions or key product component unavailability will depend on the efficacy of our integration efforts, supplier diligence, vendor management and vendor audit programs in mitigating these risks.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Revenue from our commercial operations consists of sales of Illuccix and sales-based royalties in connection with the out-licensing of TLX66-CDx outside the United States. We expect revenue from these out-licensing arrangements to be nominal in future periods as intellectual property out-licensing is not a core strategy of our business.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Sales are recognized at point-in-time when control of the products has transferred, being when the products are administered to the patient. Revenue from these sales is recognized based on the price specified in the contract, net of the estimated volume discounts, which are estimated and provided for using the expected value method, and revenue is only recognized to the extent it is highly probable that a significant reversal will not occur.</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Estimates for rebates and allowances represent our estimated obligations under contractual arrangements with third parties. Rebate accruals and allowances are recorded in the same period the related revenue is recognized, resulting in a reduction to revenue and the establishment of a liability which is included in accrued expenses. These rebates and allowances result from performance-based offers that are primarily based on attaining contractually specified sales volumes, Medicaid rebate programs for our products and certain distributor related commissions. Revenue recognized upon administration of our products to patients is limited to the price specified under Medicaid, Medicare or other government rebate programs where provided under such program. The calculation of the accrual for these rebates and allowances is based on an estimate of the third party’s expected purchases and the resulting applicable contractual rebate to be earned over a contractual period.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our product development operations consists of out-licenses of intellectual property and research and development services. The transaction price is allocated to the research and development activities based on a cost-plus margin approach. Revenue from research and development services is recognized over time based on the costs incurred to date as a percentage of total forecast costs.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When licenses of intellectual property are distinct from other goods or services promised in the contract, a portion of the transaction price is allocated to the license. The timing of revenue recognition of the transaction price allocated to the license performance obligation is based on the nature of the license. Where we perform activities that significantly affect the intellectual property to which the customer has rights, the rights granted by the license directly expose the customer to any positive or negative effects of our activities, and those activities do not result in the transfer of a good or service to the customer as those activities occur, the nature of the license is a “right to access” license. The transaction price allocable to a right to access license is recognized as revenue over time as activities are performed. Where the license arrangement does not meet the criteria for a right to access license, the license is a “right to use” license and the transaction price allocated to the license is recognized in full upon transfer of control of the license to the customer.</w:t>
      </w:r>
    </w:p>
    <w:p>
      <w:pPr>
        <w:spacing w:after="0" w:line="18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Revenue from our manufacturing services consists of the provision of contract manufacturing services to companies in the radiopharmaceutical industry. The transaction price is allocated to the services based on a cost-plus margin approach. Revenue from contract manufacturing services is recognized over time based on the costs incurred to date as a percentage of total forecast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Cost of sales primarily comprises manufacturing costs of Illuccix (including direct materials and direct labor), freight, storage and shipping from contract manufacturers to warehouses and radiopharmacies, fixed and variable overheads and dispensing and administration fees paid to distributors. Overhead expenditure is allocated based on normal operating capacity. Costs are assigned to individual items of inventory using the weighted average cost method.</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Costs of purchased inventory are determined after deducting rebates and discounts. Other costs in cost of sales expenses include amortization of intangible assets related to commercial products and sales-based royalties paid to licensors.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R&amp;D costs relate primarily to the development of new products to add to our portfolio and costs related to our medical affairs, medical information and quality and regulatory functions. Our direct R&amp;D costs consist of costs of materials, a proportion of overhead, direct labor and external service costs, such as fees paid to CROs, CMOs, research laboratories and outside consultants in connection with our process development, manufacturing and clinical development activities. R&amp;D costs also include:</w:t>
      </w:r>
    </w:p>
    <w:p>
      <w:pPr>
        <w:spacing w:after="0" w:line="180" w:lineRule="exact"/>
        <w:rPr>
          <w:sz w:val="20"/>
          <w:szCs w:val="20"/>
          <w:color w:val="auto"/>
        </w:rPr>
      </w:pPr>
    </w:p>
    <w:p>
      <w:pPr>
        <w:ind w:left="340" w:right="540" w:hanging="238"/>
        <w:spacing w:after="0" w:line="261" w:lineRule="auto"/>
        <w:tabs>
          <w:tab w:leader="none" w:pos="340" w:val="left"/>
        </w:tabs>
        <w:numPr>
          <w:ilvl w:val="0"/>
          <w:numId w:val="9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expenses incurred in connection with the clinical development of our product candidates, including under agreements with third parties, such as consultants and CROs;</w:t>
      </w:r>
    </w:p>
    <w:p>
      <w:pPr>
        <w:ind w:left="340" w:right="60" w:hanging="238"/>
        <w:spacing w:after="0" w:line="250" w:lineRule="auto"/>
        <w:tabs>
          <w:tab w:leader="none" w:pos="340" w:val="left"/>
        </w:tabs>
        <w:numPr>
          <w:ilvl w:val="0"/>
          <w:numId w:val="9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cost of manufacturing and purchasing drug products for use in our clinical trials, including under agreements with third parties, such as consultants and CMOs;</w:t>
      </w:r>
    </w:p>
    <w:p>
      <w:pPr>
        <w:ind w:left="340" w:hanging="238"/>
        <w:spacing w:after="0"/>
        <w:tabs>
          <w:tab w:leader="none" w:pos="340" w:val="left"/>
        </w:tabs>
        <w:numPr>
          <w:ilvl w:val="0"/>
          <w:numId w:val="9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other research and development related activities, which include pre-clinical expenses and research expenditure on novel targets and technologies;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9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costs related to compliance with regulatory requirements and patent expenses;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9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intellectual property costs, such as milestone payments and fees to licensors;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9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consulting, pre-launch commercialization activities and travel and conferences related to new products in development.</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expense R&amp;D costs as incurred and have not capitalized any amounts of R&amp;D costs as of December 31, 2024. For the year ended December 31, 2023, we made A$11.3 million in advance payments for goods or services to be received in future periods for use in R&amp;D activities. These payments have been recorded as prepayments within current assets in our consolidated statement of financial position as of December 31, 2023. As of December 31, 2024 we recorded A$0.2 million in advance payments for goods or services to be received in future periods for use in R&amp;D activities.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direct R&amp;D costs are tracked by stage of program for our product candidates and consist primarily of external costs, such as fees paid to CROs, CMOs, research laboratories and outside consultants in connection with our process development, manufacturing and clinical development activities. We do not allocate employee costs associated with our research efforts to specific programs. We use internal resources primarily to conduct our research activities as well as for managing our process development, manufacturing and clinical development activities. These employees work across multiple development programs and, therefore, we do not track these costs by program.</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R&amp;D costs in fiscal years after December 31, 2024 are expected to comprise costs of a similar nature to that recorded to date. Product candidates in later stages of clinical development generally have higher development costs than those in earlier stages of clinical development, primarily due to the increased size and duration of later-stage clinical trials.</w:t>
      </w:r>
    </w:p>
    <w:p>
      <w:pPr>
        <w:spacing w:after="0" w:line="176" w:lineRule="exact"/>
        <w:rPr>
          <w:sz w:val="20"/>
          <w:szCs w:val="20"/>
          <w:color w:val="auto"/>
        </w:rPr>
      </w:pPr>
    </w:p>
    <w:p>
      <w:pPr>
        <w:jc w:val="both"/>
        <w:ind w:right="200"/>
        <w:spacing w:after="0" w:line="289" w:lineRule="auto"/>
        <w:rPr>
          <w:sz w:val="20"/>
          <w:szCs w:val="20"/>
          <w:color w:val="auto"/>
        </w:rPr>
      </w:pPr>
      <w:r>
        <w:rPr>
          <w:rFonts w:ascii="Times New Roman" w:cs="Times New Roman" w:eastAsia="Times New Roman" w:hAnsi="Times New Roman"/>
          <w:sz w:val="17"/>
          <w:szCs w:val="17"/>
          <w:color w:val="auto"/>
        </w:rPr>
        <w:t>We expect that our R&amp;D costs will increase in connection with our planned clinical development, manufacturing and regulatory approval activities in the near term and in the future, including as we execute our ProstACT GLOBAL clinical trial for the treatment of prostate cancer. We also anticipate that we will incur increased labor expenses allocable to R&amp;D costs as we increase headcount to support these manufacturing and clinical development activities.</w:t>
      </w:r>
    </w:p>
    <w:p>
      <w:pPr>
        <w:spacing w:after="0" w:line="15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Because of the risks inherent in the discovery and development of therapeutic and diagnostic products, we cannot determine with certainty the nature, timing and estimated costs of the efforts necessary to complete the development of our programs or the anticipated completion dates of any of these programs. We may never succeed in achieving regulatory approval for product candidates in our pipeline. The duration, costs and timing of clinical trials and development of our product candidates depend on a variety of factors, including:</w:t>
      </w:r>
    </w:p>
    <w:p>
      <w:pPr>
        <w:spacing w:after="0" w:line="180" w:lineRule="exact"/>
        <w:rPr>
          <w:sz w:val="20"/>
          <w:szCs w:val="20"/>
          <w:color w:val="auto"/>
        </w:rPr>
      </w:pPr>
    </w:p>
    <w:p>
      <w:pPr>
        <w:ind w:left="340" w:hanging="238"/>
        <w:spacing w:after="0"/>
        <w:tabs>
          <w:tab w:leader="none" w:pos="340" w:val="left"/>
        </w:tabs>
        <w:numPr>
          <w:ilvl w:val="0"/>
          <w:numId w:val="9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scope, rate of progress and expense of our planned clinical trials as well as other R&amp;D activities;</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9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clinical trial results;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9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terms and timing of regulatory approvals;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9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expense of filing, maintaining, prosecuting, defending and enforcing patent claims and other intellectual property rights;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9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ability to raise necessary additional funds, whether through commercial operations or investment;</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9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ability to commercialize and achieve market acceptance for any products that receive regulatory approval;</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9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 continued acceptable safety profile following approval in any indication; and</w:t>
      </w:r>
    </w:p>
    <w:p>
      <w:pPr>
        <w:spacing w:after="0" w:line="9" w:lineRule="exact"/>
        <w:rPr>
          <w:rFonts w:ascii="Times New Roman" w:cs="Times New Roman" w:eastAsia="Times New Roman" w:hAnsi="Times New Roman"/>
          <w:sz w:val="18"/>
          <w:szCs w:val="18"/>
          <w:color w:val="0A2E94"/>
        </w:rPr>
      </w:pPr>
    </w:p>
    <w:p>
      <w:pPr>
        <w:ind w:left="340" w:hanging="238"/>
        <w:spacing w:after="0" w:line="260" w:lineRule="auto"/>
        <w:tabs>
          <w:tab w:leader="none" w:pos="340" w:val="left"/>
        </w:tabs>
        <w:numPr>
          <w:ilvl w:val="0"/>
          <w:numId w:val="9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ability to establish and maintain agreements with third-party suppliers and manufacturers for clinical supply and commercial manufacturing for any product candidate, if approved.</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 change in the outcome of any of these factors could significantly change the duration, costs and timing associated with clinical trials and development of our product candidates. Data obtained from our clinical trials and other R&amp;D activities at any step in the development process may be adverse and lead to discontinuation or redirection of our R&amp;D expenditure and activity with respect to a product candidate. Data obtained from these activities are also susceptible to varying interpretations, which could delay, limit or prevent regulatory approvals. Any failure by us to obtain, or any delay in obtaining, regulatory approvals could materially adversely affect our product development efforts, as well as our financial position and our business overall. As a result of these risks and uncertainties, we are unable to determine with any significant degree of certainty the duration and completion costs of our R&amp;D programs or when, and to what extent, if at all, we will generate material net cash inflows from each program.</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expect our R&amp;D costs to continue to increase as we expand our clinical trial activity and other R&amp;D activity, as our current product candidates advance through development and as we invest in future product candidates and programs.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capital requirements of our current or future R&amp;D programs and the extent to which we may need to obtain additional funding to finance our R&amp;D program activity will depend on many factors. See the “Funding Requirements” section in “— B. Liquidity and Capital Resources” for more information on these factors.</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R&amp;D costs also comprise patent expenses related to the cost of outside patent attorneys to manage and prosecute claims for our patent portfolio, and intellectual property costs to the license and patent assignment costs in respect of our in-license agreements for certain technologies.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Selling and marketing expenses consist primarily of salaries and other related costs for personnel in field sales, marketing and customer service functions. Other costs in selling and marketing expenses include bad debt expense, the development and printing of advertising and promotional material, professional services, market research and sales meetings.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and Distribution Costs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second quarter of 2024, we reclassified several operating expenses related to product quality control, supply chain and logistics activities. In the discussion of results of our operations set forth below and in our consolidated financial statements included elsewhere in this annual report, all prior periods presented have been retrospectively revised to reflect this reclassification of expenses. Manufacturing and distribution costs predominantly consist of personnel costs and are ancillary in nature to support the expansion of supply chain, logistics and quality activities prior to commercial launch.</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expect that our manufacturing and distribution costs will increase as we continue to invest in the vertical integration of our supply chain operations through strategic acquisitions and the buildout of our existing Brussels South, IsoTherapeutics, Optimal Tracers and ARTMS facilities.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Administration Costs</w:t>
      </w:r>
    </w:p>
    <w:p>
      <w:pPr>
        <w:spacing w:after="0" w:line="22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General and administration costs consist of salaries, employee benefit expenses (including share-based payment expenses) and other related costs for personnel in executive, finance, legal, information technology, human resource and other corporate functions. Other costs included in general and administration costs are professional fees for information technology services, external legal fees, consulting and accounting services as well as certain facility and insurance costs, including director and officer liability insurance.</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anticipate that our administration expenses will increase in the future as we increase our headcount to support commercial operations and our research and development activities. We also anticipate that we will incur increased accounting, audit, legal, regulatory, compliance and director and officer insurance costs as well as investor and public relations expenses associated with being a public company in the United States.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Gains/(Losses) (Net)</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Other gains/(losses) (net) primarily consist of the remeasurement of contingent consideration liabilities, reflecting the impact of changes in the underlying assumptions and inputs used in the valuation.</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acquired Advanced Nuclear Medicine Ingredients SA, or ANMI, in December 2018. We are liable for future variable payments which are calculated based on the percentage of net sales of Illuccix through April 13, 2027, which is five years following the first commercial sale of the product. The applicable percentage of net sales is equal to a percentage in the low teens for sales achieved in the United States and equal to a percentage in the low twenties for sales in the rest of the world. We also hold an option to buy out the remaining deferred payments by paying €10 million within 90 days of April 13, 2025. When presenting financial statement information, we estimate the fair value of the contingent consideration liability as of the end of the period presented using a discounted cash flow model based on the risk-adjusted post-tax discount rate, expected sales volumes, net sales price per unit and the exercise of the buy-out option. If it is determined that a remeasurement is needed to adjust the carrying value of the contingent consideration to its fair value, the amount of the remeasurement is recognized in other gains/(losses) (net). The carrying value of this contingent consideration as of December 31, 2024 was A$77.8 million.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gains/(losses) (net) also comprise foreign exchange gains and losses, which represent the impact of the variance in exchange rates between the Australian dollar and the U.S. dollar, Euro, British Pound and Canadian dollar on our cash and cash equivalents, financial assets, financial liabilities and foreign currency denominated transactions.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income comprises interest on cash and cash equivalents.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Costs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Finance costs comprise the unwind of discounts applied to the measurement of contingent consideration, contract liabilities, government grant liabilities and decommissioning liabilities. The discount rate applied to present value liabilities is specific to the liability, with reference to our weighted average cost of debt or, where appropriate, the risk-free rate of debt.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finance costs include interest expense on lease liabilities and bank fees on cash and cash equivalents held with financial institutions.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(Expense)/Benefit</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operate across multiple tax jurisdictions with varying degrees of activities. As a result, we report a blended effective tax rate reflecting these multiple tax jurisdictions.</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expect that we will continue to reflect a blended tax expense or credit from the relevant tax jurisdictions, considering our tax risk profile and our activities in the differing tax jurisdictions.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eligible under the Australian government’s R&amp;D Tax Incentive Scheme to obtain a cash amount or an R&amp;D tax incentive credit from the Australian Taxation Office. The tax incentive is available to us based on specific criteria with which we must comply. In the event that global revenue exceeds A$20 million in a fiscal year, the cash receipt option is not available and we are only eligible to receive a non-refundable tax credit, which can be carried forward. The tax incentives may only be offset against Australian taxable income. As such, they are recognized as a component of income tax expense or benefit to the extent that the relevant recognition criteria under IFRS Accounting Standards have been satisfied.</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Fiscal Years Ended December 31, 2024, 2023 and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consolidated statement of comprehensive income or loss for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Borders>
              <w:right w:val="single" w:sz="8" w:color="auto"/>
            </w:tcBorders>
          </w:tcPr>
          <w:p>
            <w:pPr>
              <w:spacing w:after="0"/>
              <w:rPr>
                <w:sz w:val="19"/>
                <w:szCs w:val="19"/>
                <w:color w:val="auto"/>
              </w:rPr>
            </w:pPr>
          </w:p>
        </w:tc>
        <w:tc>
          <w:tcPr>
            <w:tcW w:w="338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2240" w:type="dxa"/>
            <w:vAlign w:val="bottom"/>
            <w:tcBorders>
              <w:right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4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2023 vs. 2022</w:t>
            </w:r>
          </w:p>
        </w:tc>
      </w:tr>
      <w:tr>
        <w:trPr>
          <w:trHeight w:val="223"/>
        </w:trPr>
        <w:tc>
          <w:tcPr>
            <w:tcW w:w="3400" w:type="dxa"/>
            <w:vAlign w:val="bottom"/>
            <w:tcBorders>
              <w:right w:val="single" w:sz="8" w:color="auto"/>
            </w:tcBorders>
          </w:tcPr>
          <w:p>
            <w:pPr>
              <w:spacing w:after="0"/>
              <w:rPr>
                <w:sz w:val="19"/>
                <w:szCs w:val="19"/>
                <w:color w:val="auto"/>
              </w:rPr>
            </w:pPr>
          </w:p>
        </w:tc>
        <w:tc>
          <w:tcPr>
            <w:tcW w:w="114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Borders>
              <w:top w:val="single" w:sz="8" w:color="auto"/>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Borders>
              <w:top w:val="single" w:sz="8" w:color="auto"/>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Pr>
          <w:p>
            <w:pPr>
              <w:spacing w:after="0"/>
              <w:rPr>
                <w:sz w:val="19"/>
                <w:szCs w:val="19"/>
                <w:color w:val="auto"/>
              </w:rPr>
            </w:pPr>
          </w:p>
        </w:tc>
      </w:tr>
      <w:tr>
        <w:trPr>
          <w:trHeight w:val="223"/>
        </w:trPr>
        <w:tc>
          <w:tcPr>
            <w:tcW w:w="3400" w:type="dxa"/>
            <w:vAlign w:val="bottom"/>
            <w:tcBorders>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112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w:t>
            </w: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 and per share data)</w:t>
            </w: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783,207</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502,547</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160,096</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280,660</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342,451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(273,529)</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(188,157)</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(85,372)</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(122,987)</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509,678</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314,390</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94,926</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195,288</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219,464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(194,637)</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(128,537)</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(80,687)</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(66,100)</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(85,473)</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(50,109)</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(36,313)</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(35,364)</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Manufacturing and distribution costs</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(25,731)</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(9,869)</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(15,862)</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administration costs</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(129,830)</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(74,181)</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(47,156)</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(55,649)</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gains/(losses) (net)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(35,854)</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(18,751)</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43,977</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82,130</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15,840</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(91,930)</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66,290</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107,770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(36,936)</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(23,164)</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Profit/(loss) before income tax</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56,056</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3,087</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(98,622)</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52,969</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1,716%</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101,709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Profit/(loss) for the year</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49,919</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(104,079)</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44,708</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858%</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109,290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Profit/(loss) for the year attributable to:</w:t>
            </w: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Owners of Telix Pharmaceuticals Limited</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49,919</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(104,079)</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44,708</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109,290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3400" w:type="dxa"/>
            <w:vAlign w:val="bottom"/>
            <w:tcBorders>
              <w:right w:val="single" w:sz="8" w:color="auto"/>
            </w:tcBorders>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Items that will not be reclassified to profit or</w:t>
            </w:r>
          </w:p>
        </w:tc>
        <w:tc>
          <w:tcPr>
            <w:tcW w:w="11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34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i w:val="1"/>
                <w:iCs w:val="1"/>
                <w:color w:val="auto"/>
              </w:rPr>
              <w:t>loss in subsequent periods:</w:t>
            </w:r>
          </w:p>
        </w:tc>
        <w:tc>
          <w:tcPr>
            <w:tcW w:w="114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98"/>
        </w:trPr>
        <w:tc>
          <w:tcPr>
            <w:tcW w:w="340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the fair value of investments at</w:t>
            </w:r>
          </w:p>
        </w:tc>
        <w:tc>
          <w:tcPr>
            <w:tcW w:w="114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40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through other comprehensive</w:t>
            </w:r>
          </w:p>
        </w:tc>
        <w:tc>
          <w:tcPr>
            <w:tcW w:w="1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34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114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96"/>
        </w:trPr>
        <w:tc>
          <w:tcPr>
            <w:tcW w:w="3400" w:type="dxa"/>
            <w:vAlign w:val="bottom"/>
            <w:tcBorders>
              <w:right w:val="single" w:sz="8" w:color="auto"/>
            </w:tcBorders>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Items to be reclassified to profit or loss in</w:t>
            </w:r>
          </w:p>
        </w:tc>
        <w:tc>
          <w:tcPr>
            <w:tcW w:w="11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34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i w:val="1"/>
                <w:iCs w:val="1"/>
                <w:color w:val="auto"/>
              </w:rPr>
              <w:t>subsequent periods:</w:t>
            </w:r>
          </w:p>
        </w:tc>
        <w:tc>
          <w:tcPr>
            <w:tcW w:w="114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98"/>
        </w:trPr>
        <w:tc>
          <w:tcPr>
            <w:tcW w:w="340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Exchange differences on translation of foreign</w:t>
            </w:r>
          </w:p>
        </w:tc>
        <w:tc>
          <w:tcPr>
            <w:tcW w:w="1140" w:type="dxa"/>
            <w:vAlign w:val="bottom"/>
            <w:tcBorders>
              <w:right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47,684</w:t>
            </w:r>
          </w:p>
        </w:tc>
        <w:tc>
          <w:tcPr>
            <w:tcW w:w="1120" w:type="dxa"/>
            <w:vAlign w:val="bottom"/>
            <w:tcBorders>
              <w:right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(4,852)</w:t>
            </w:r>
          </w:p>
        </w:tc>
        <w:tc>
          <w:tcPr>
            <w:tcW w:w="22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591</w:t>
            </w:r>
          </w:p>
        </w:tc>
        <w:tc>
          <w:tcPr>
            <w:tcW w:w="1120" w:type="dxa"/>
            <w:vAlign w:val="bottom"/>
            <w:tcBorders>
              <w:right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52,536</w:t>
            </w:r>
          </w:p>
        </w:tc>
        <w:tc>
          <w:tcPr>
            <w:tcW w:w="1120" w:type="dxa"/>
            <w:vAlign w:val="bottom"/>
            <w:tcBorders>
              <w:right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(5,443)</w:t>
            </w:r>
          </w:p>
        </w:tc>
        <w:tc>
          <w:tcPr>
            <w:tcW w:w="11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41"/>
        </w:trPr>
        <w:tc>
          <w:tcPr>
            <w:tcW w:w="34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14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94"/>
        </w:trPr>
        <w:tc>
          <w:tcPr>
            <w:tcW w:w="340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comprehensive income/(loss) for the</w:t>
            </w:r>
          </w:p>
        </w:tc>
        <w:tc>
          <w:tcPr>
            <w:tcW w:w="1140" w:type="dxa"/>
            <w:vAlign w:val="bottom"/>
            <w:tcBorders>
              <w:right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92,617</w:t>
            </w:r>
          </w:p>
        </w:tc>
        <w:tc>
          <w:tcPr>
            <w:tcW w:w="1120" w:type="dxa"/>
            <w:vAlign w:val="bottom"/>
            <w:tcBorders>
              <w:right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(536)</w:t>
            </w:r>
          </w:p>
        </w:tc>
        <w:tc>
          <w:tcPr>
            <w:tcW w:w="220" w:type="dxa"/>
            <w:vAlign w:val="bottom"/>
          </w:tcPr>
          <w:p>
            <w:pPr>
              <w:spacing w:after="0"/>
              <w:rPr>
                <w:sz w:val="16"/>
                <w:szCs w:val="16"/>
                <w:color w:val="auto"/>
              </w:rPr>
            </w:pPr>
          </w:p>
        </w:tc>
        <w:tc>
          <w:tcPr>
            <w:tcW w:w="900" w:type="dxa"/>
            <w:vAlign w:val="bottom"/>
            <w:tcBorders>
              <w:right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(103,488)</w:t>
            </w:r>
          </w:p>
        </w:tc>
        <w:tc>
          <w:tcPr>
            <w:tcW w:w="1120" w:type="dxa"/>
            <w:vAlign w:val="bottom"/>
            <w:tcBorders>
              <w:right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93,153</w:t>
            </w:r>
          </w:p>
        </w:tc>
        <w:tc>
          <w:tcPr>
            <w:tcW w:w="1120" w:type="dxa"/>
            <w:vAlign w:val="bottom"/>
            <w:tcBorders>
              <w:right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right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102,952</w:t>
            </w: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99%</w:t>
            </w:r>
          </w:p>
        </w:tc>
        <w:tc>
          <w:tcPr>
            <w:tcW w:w="20" w:type="dxa"/>
            <w:vAlign w:val="bottom"/>
          </w:tcPr>
          <w:p>
            <w:pPr>
              <w:spacing w:after="0"/>
              <w:rPr>
                <w:sz w:val="16"/>
                <w:szCs w:val="16"/>
                <w:color w:val="auto"/>
              </w:rPr>
            </w:pPr>
          </w:p>
        </w:tc>
      </w:tr>
      <w:tr>
        <w:trPr>
          <w:trHeight w:val="245"/>
        </w:trPr>
        <w:tc>
          <w:tcPr>
            <w:tcW w:w="34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4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94"/>
        </w:trPr>
        <w:tc>
          <w:tcPr>
            <w:tcW w:w="3400" w:type="dxa"/>
            <w:vAlign w:val="bottom"/>
            <w:tcBorders>
              <w:right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comprehensive income/(loss) for the</w:t>
            </w:r>
          </w:p>
        </w:tc>
        <w:tc>
          <w:tcPr>
            <w:tcW w:w="114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45"/>
        </w:trPr>
        <w:tc>
          <w:tcPr>
            <w:tcW w:w="34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year attributable to:</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shd w:val="clear" w:color="auto" w:fill="CCEEFF"/>
          </w:tcPr>
          <w:p>
            <w:pPr>
              <w:spacing w:after="0"/>
              <w:rPr>
                <w:sz w:val="21"/>
                <w:szCs w:val="21"/>
                <w:color w:val="auto"/>
              </w:rPr>
            </w:pPr>
          </w:p>
        </w:tc>
        <w:tc>
          <w:tcPr>
            <w:tcW w:w="1120" w:type="dxa"/>
            <w:vAlign w:val="bottom"/>
            <w:tcBorders>
              <w:bottom w:val="single" w:sz="8" w:color="auto"/>
              <w:right w:val="single" w:sz="8" w:color="auto"/>
            </w:tcBorders>
            <w:shd w:val="clear" w:color="auto" w:fill="CCEEFF"/>
          </w:tcPr>
          <w:p>
            <w:pPr>
              <w:spacing w:after="0"/>
              <w:rPr>
                <w:sz w:val="21"/>
                <w:szCs w:val="21"/>
                <w:color w:val="auto"/>
              </w:rPr>
            </w:pPr>
          </w:p>
        </w:tc>
        <w:tc>
          <w:tcPr>
            <w:tcW w:w="1120" w:type="dxa"/>
            <w:vAlign w:val="bottom"/>
            <w:tcBorders>
              <w:bottom w:val="single" w:sz="8" w:color="auto"/>
              <w:right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Owners of Telix Pharmaceuticals Limited</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92,617</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(103,488)</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93,153</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102,952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9"/>
                <w:szCs w:val="19"/>
                <w:color w:val="auto"/>
              </w:rPr>
            </w:pPr>
          </w:p>
        </w:tc>
      </w:tr>
      <w:tr>
        <w:trPr>
          <w:trHeight w:val="198"/>
        </w:trPr>
        <w:tc>
          <w:tcPr>
            <w:tcW w:w="340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earnings/(loss) per share from</w:t>
            </w:r>
          </w:p>
        </w:tc>
        <w:tc>
          <w:tcPr>
            <w:tcW w:w="114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40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 after income tax</w:t>
            </w:r>
          </w:p>
        </w:tc>
        <w:tc>
          <w:tcPr>
            <w:tcW w:w="1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12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0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attributable to the ordinary equity holders of</w:t>
            </w:r>
          </w:p>
        </w:tc>
        <w:tc>
          <w:tcPr>
            <w:tcW w:w="114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34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Company</w:t>
            </w:r>
          </w:p>
        </w:tc>
        <w:tc>
          <w:tcPr>
            <w:tcW w:w="114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340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Diluted earnings/(loss) per share from</w:t>
            </w:r>
          </w:p>
        </w:tc>
        <w:tc>
          <w:tcPr>
            <w:tcW w:w="11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4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continuing operations after income tax</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18"/>
                <w:szCs w:val="18"/>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attributable to the ordinary equity holders of</w:t>
            </w: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34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Company</w:t>
            </w:r>
          </w:p>
        </w:tc>
        <w:tc>
          <w:tcPr>
            <w:tcW w:w="11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 Percentage not meaningful</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0"/>
        </w:trPr>
        <w:tc>
          <w:tcPr>
            <w:tcW w:w="3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179</w:t>
            </w: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
        </w:trPr>
        <w:tc>
          <w:tcPr>
            <w:tcW w:w="34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Revenue from contracts with customers was A$783.2 million for the year ended December 31, 2024, an increase of A$280.7 million, or 56%, compared to A$502.5 million for the year ended December 31, 2023. This increase was due to 55% growth in commercial sales volumes of Illuccix in the United States compared to 2023, supported by a combination of increased market share and category growth for PSMA imaging, predominantly in the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Cost of sales increased by A$85.3 million, or 45%, to A$273.5 million for the fiscal year ended December 31, 2024 from A$188.2 million for the fiscal year ended December 31, 2023. The increase was primarily driven by higher dose administration fees to distributors.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Gross margin improved in 2024 relative to 2023, increasing to 65% for 2024 (up from 63% in 2023). This increase was supported by a stable selling price for Illuccix® within each market segment..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R&amp;D costs were A$194.6 million for the year ended December 31, 2024, an increase of A$66.1 million, or 51%, compared to A$128.5 million for the year ended December 31, 2023. This increase was primarily driven by preparation for the commercial launches, including scale-up of inventory, of three new imaging agents in the United States and patient recruitment and clinical manufacturing for the Phase 3 ProstACT GLOBAL trial. We expect our R&amp;D costs to continue to increase as we expand our clinical trial activity and other R&amp;D activity, as our current product candidates advance through development and as we invest in future product candidates and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Selling and marketing expenses were A$85.5 million for the year ended December 31, 2024, an increase of A$35.4 million, or 71%, compared to A$50.1 million for the year ended December 31, 2023. This increase was primarily driven by increased investment in promotional activities and sales force operations, deployed to drive higher sales volumes of Illuccix, and preparation activities to support the launch of three new imaging products in the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Distribution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and distribution costs were A$25.7 million for the year ended December 31, 2024, an increase of A$15.8 million, or 161%, compared to</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A$9.9 million for the year ended December 31, 2023. This increase was primarily driven by increased personnel costs from the acquisition of ARTMS and IsoTherapeutics, and higher costs associated with preparing the Brussels South manufacturing facility for GMP commercial production.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Administration Costs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and administration costs were A$129.8 million for the year ended December 31, 2024, an increase of A$55.6 million, or 75%, compared to A$74.2 million for the year ended December 31, 2023. This increase was driven by investments in corporate infrastructure to support the expansion of services assisting commercial operations in each region, professional fees incurred in connection with our Nasdaq listing and transaction costs related to the acquisitions of ARTMS Inc, IsoTherapeutics Group, and RLS (USA), Inc.</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Gains/(Losses) (Net)</w:t>
      </w:r>
    </w:p>
    <w:p>
      <w:pPr>
        <w:spacing w:after="0" w:line="229"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Other gains (net) were A$8.1 million for the year ended December 31, 2024, a change of A$44.0 million, compared to other losses (net) of A$35.9 million for the year ended December 31, 2023. This resulted from a lower remeasurement of contingent consideration and unrealized foreign currency gains.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Finance income was A$10.9 million for the year ended December 31, 2024, an increase of A$9.9 million, or 966%, compared to A$1.0 million for the year ended December 31, 2023. This increase reflects an increase in cash and cash equivalents placed into short term deposits and higher interest rate yields obtained on deposits in the year ended December 31, 2024 compared to the prior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31"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Finance costs were A$36.9 million for the year ended December 31, 2024, an increase of A$23.1 million, or 168%, compared to A$13.8 million for the year ended December 31, 2023. This increase was due to a higher unwind of discount on contingent consideration liabilities in 2024, reflecting the increased contingent consideration liabilities and finance costs associated with the Convertible Bonds issued during the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(Expense)/Benefit</w:t>
      </w:r>
    </w:p>
    <w:p>
      <w:pPr>
        <w:spacing w:after="0" w:line="3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Income tax expense was A$6.1 million for the year ended December 31, 2024, a change of A$8.0 million compared to a benefit of A$2.1 million for the year ended December 31, 2023. This resulted from the recognition of A$26.3 million in deferred tax benefits attributable to temporary differences and unused tax losses. Current tax expense increased from A$14.4 million in 2023 to A$32.4 million in 2024 as a result of the increase in taxable profits generated in the United States and Belgium.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Revenue from contracts with customers was A$502.5 million for the year ended December 31, 2023, an increase of A$342.4 million, or 214%, compared to A$160.1 million for the year ended December 31, 2022. This increase was due to a 223% increase in commercial sales volumes of Illuccix in the United States compared to 2022, which reflected a full year of commercial sales in 2023 and growth in sales during 2023. Average daily demand for doses increased in 2023 while average prices remained relatively consistent compared to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Cost of sales increased by A$123.0 million, or 189%, to A$188.2 million for the fiscal year ended December 31, 2023 from A$65.2 million for the fiscal year ended December 31, 2022. The increase was primarily driven by higher dose administration fees to distributors and kit manufacturing costs and higher royalties driven by higher sales volumes.</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Gross margin improved in 2023 relative to 2022, increasing to 63% for 2023 (up from 59% in 2022). This increase reflected stable selling prices and optimization and efficiency gains in manufacturing and distribution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R&amp;D costs were A$128.5 million for the year ended December 31, 2023, an increase of A$47.9 million, or 59%, compared to A$80.7 million for the year ended December 31, 2022. This increase was primarily driven by investment in two new diagnostic assets and developing late-stage diagnostic assets, including the prostate cancer therapy program.</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expect our R&amp;D costs to continue to increase as we expand our clinical trial activity and other R&amp;D activity, as our current product candidates advance through development and as we invest in future product candidates and programs.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Selling and marketing expenses were A$50.1 million for the year ended December 31, 2023, an increase of A$13.8 million, or 38%, compared to A$36.3 million for the year ended December 31, 2022. This increase was primarily driven by increased investment in Illuccix commercialization activities, including costs associated with the expansion of our sales force operations and promotional marketing program costs (including travel costs).</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Selling and marketing expenses decreased as a percentage of revenue, reflecting improvements in operating expenditure control and revenue growth exceeding cost base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Distribution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and distribution costs were A$9.9 million for the year ended December 31, 2023, an increase of A$5.9 million, or 150%, compared to</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A$3.9 million for the year ended December 31, 2022. This increase was primarily driven by increased personnel costs associated with the buildout of our supply chain and logistics functions and the continued buildout of our Brussels South facility prior to commercial launch.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Administration Costs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General and administration costs were A$74.2 million for the year ended December 31, 2023, an increase of A$27.0 million, or 57%, compared to A$47.2 million for the year ended December 31, 2022. This increase was primarily driven by higher employee-related costs and an increased investment in infrastructure to support the expansion of support services for our commercial operations in each region.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(Losses)/Gains (Net)</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Other losses (net) were A$35.9 million for the year ended December 31, 2023, a change of A$17.1 million, or 91%, compared to other losses (net) of A$18.8 million for the year ended December 31, 2022. This resulted from higher losses recognized on the remeasurement of contingent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Finance income was A$1.0 million for the year ended December 31, 2023, an increase of A$1.0 million compared to A$0.0 million for the year ended December 31, 2022. This increase reflects an increase in cash and cash equivalents placed into short term deposits and higher interest rate yields obtained on deposits in the year ended December 31, 2023 compared to the prior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Finance costs were A$13.8 million for the year ended December 31, 2023, an increase of A$7.1 million, or 106%, compared to A$6.7 million for the year ended December 31, 2022. This increase was due to a higher unwind of discount on contingent consideration liability for 2023, reflecting the more significant remeasurement recognized for the year compared to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Benefit/(Expense)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Income tax benefit was A$2.1 million for the year ended December 31, 2023, a change of A$7.6 million compared to a A$5.5 million expense for the year ended December 31, 2022. This resulted from the recognition of A$16.5 million in deferred tax benefits attributable to temporary differences and unused tax losses. Current tax expense increased from A$9.4 million in 2022 to A$14.4 million in 2023 as a result of the increase in taxable profits generated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left="20" w:right="340"/>
        <w:spacing w:after="0" w:line="282" w:lineRule="auto"/>
        <w:rPr>
          <w:sz w:val="20"/>
          <w:szCs w:val="20"/>
          <w:color w:val="auto"/>
        </w:rPr>
      </w:pPr>
      <w:r>
        <w:rPr>
          <w:rFonts w:ascii="Times New Roman" w:cs="Times New Roman" w:eastAsia="Times New Roman" w:hAnsi="Times New Roman"/>
          <w:sz w:val="18"/>
          <w:szCs w:val="18"/>
          <w:color w:val="auto"/>
        </w:rPr>
        <w:t>We have implemented a strategic reorganization to reflect senior management’s focus as a therapeutics-led radiopharmaceutical company committed to precision oncology. As a result, our three reportable segments are now Precision Medicine, Therapeutics and Manufacturing Solutions.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discussion of results of our operations set forth below and in our consolidated financial statements included elsewhere in this annual report, our prior period segment information has been retrospectively revised to reflect our current segment presentation. We evaluate the performance of our segments based on Adjusted EBITDA, calculated as earnings before interest, tax, depreciation and amortization, adjusted for the effects of the remeasurement of contingent consideration and other gains and losses which may have an impact on the degree to which earnings reflect the results of core operations, such as an impairment or impairment reversal where the impairment is the result of an isolated, non-recurring event.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uses Adjusted EBITDA to assess the core operating performance of segments and to make decisions about the allocation of resources. We also believe this measure provides useful information to users of our financial statements by allowing for the assessment of underlying trends in our current operational performance by excluding the impacts of non-cash sunk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Precision Medicine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Precision Medicine segment focuses on the commercial sales of Illuccix and other diagnostic products that may obtain regulatory approvals. This segment includes royalties and sales of goods (which account for the majority of our revenue from operations), as well as the sales and marketing expenses and costs of sales necessary to support those revenues and research and development costs associated with development activities of our diagnostic pipeline.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results of operations for our Precision Medicine segment for the fiscal years ended December 31, 2024, 2023 and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Borders>
              <w:right w:val="single" w:sz="8" w:color="auto"/>
            </w:tcBorders>
          </w:tcPr>
          <w:p>
            <w:pPr>
              <w:spacing w:after="0"/>
              <w:rPr>
                <w:sz w:val="19"/>
                <w:szCs w:val="19"/>
                <w:color w:val="auto"/>
              </w:rPr>
            </w:pPr>
          </w:p>
        </w:tc>
        <w:tc>
          <w:tcPr>
            <w:tcW w:w="33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2240" w:type="dxa"/>
            <w:vAlign w:val="bottom"/>
            <w:tcBorders>
              <w:right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4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2023 vs. 2022</w:t>
            </w:r>
          </w:p>
        </w:tc>
      </w:tr>
      <w:tr>
        <w:trPr>
          <w:trHeight w:val="223"/>
        </w:trPr>
        <w:tc>
          <w:tcPr>
            <w:tcW w:w="3400" w:type="dxa"/>
            <w:vAlign w:val="bottom"/>
            <w:tcBorders>
              <w:right w:val="single" w:sz="8" w:color="auto"/>
            </w:tcBorders>
          </w:tcPr>
          <w:p>
            <w:pPr>
              <w:spacing w:after="0"/>
              <w:rPr>
                <w:sz w:val="19"/>
                <w:szCs w:val="19"/>
                <w:color w:val="auto"/>
              </w:rPr>
            </w:pPr>
          </w:p>
        </w:tc>
        <w:tc>
          <w:tcPr>
            <w:tcW w:w="114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1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Borders>
              <w:top w:val="single" w:sz="8" w:color="auto"/>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Borders>
              <w:top w:val="single" w:sz="8" w:color="auto"/>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Pr>
          <w:p>
            <w:pPr>
              <w:spacing w:after="0"/>
              <w:rPr>
                <w:sz w:val="19"/>
                <w:szCs w:val="19"/>
                <w:color w:val="auto"/>
              </w:rPr>
            </w:pPr>
          </w:p>
        </w:tc>
      </w:tr>
      <w:tr>
        <w:trPr>
          <w:trHeight w:val="223"/>
        </w:trPr>
        <w:tc>
          <w:tcPr>
            <w:tcW w:w="3400" w:type="dxa"/>
            <w:vAlign w:val="bottom"/>
            <w:tcBorders>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11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112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w:t>
            </w: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 data)</w:t>
            </w:r>
          </w:p>
        </w:tc>
        <w:tc>
          <w:tcPr>
            <w:tcW w:w="1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771,106</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496,738</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156,369</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274,368</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340,369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(270,821)</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(188,157)</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(82,664)</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(122,987)</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500,285</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308,581</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91,199</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191,704</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217,382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(111,348)</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(80,327)</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(48,285)</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(31,021)</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(84,562)</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(49,991)</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(36,313)</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(34,571)</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Manufacturing and distribution costs</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administration costs</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(42,800)</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(30,979)</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(23,807)</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(gains)/losses (net)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(35,138)</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(17,496)</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26,229</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244,859</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104,545</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(37,266)</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140,314</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141,811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(gains)/losses (net)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35,138</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17,496</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26,229</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259,341</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145,194</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(15,091)</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114,147</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160,285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not meaningful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fiscal year ended December 31, 2024, revenue from contracts with customers for our Precision Medicine segment consisted of A$770.9 million (2023: A$496.3 million) in sales of goods and A$0.2 million (2023: A$0.4 million) in royalty revenue. Sales of Illuccix in the United States were the main driver of the 55% increase in revenue from contracts with customers for the Precision Medicine segment compared to 2023.</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Adjusted EBITDA increased by A$114.1 million, or 79% to A$259.3 million for the fiscal year ended December 31, 2024, up from A$145.2 million in 2023.</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fiscal year ended December 31, 2023, revenue from contracts with customers for our Precision Medicine segment consisted of A$496.3 million (2022: A$156.0 million) in sales of goods and A$0.4 million (2022: A$0.4 million) in royalty revenue. Sales of Illuccix in the United States were the main driver of the 218% increase in revenue from contracts with customers for the Precision Medicine segment compared to 2022.</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Adjusted EBITDA increased by A$160.3 million to A$145.2 million for the fiscal year ended December 31, 2023, up from a loss of A$15.1 million in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Therapeutics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Therapeutics segment focuses on the development of our core therapeutic pipeline for commercialization. This segment includes revenue received from license agreements prior to commercialization and research and development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results of operations for our Therapeutics segment for the fiscal years ended December 31, 2024, 2023 and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00" w:type="dxa"/>
            <w:vAlign w:val="bottom"/>
            <w:tcBorders>
              <w:right w:val="single" w:sz="8" w:color="auto"/>
            </w:tcBorders>
          </w:tcPr>
          <w:p>
            <w:pPr>
              <w:spacing w:after="0"/>
              <w:rPr>
                <w:sz w:val="19"/>
                <w:szCs w:val="19"/>
                <w:color w:val="auto"/>
              </w:rPr>
            </w:pPr>
          </w:p>
        </w:tc>
        <w:tc>
          <w:tcPr>
            <w:tcW w:w="2980" w:type="dxa"/>
            <w:vAlign w:val="bottom"/>
            <w:gridSpan w:val="4"/>
          </w:tcPr>
          <w:p>
            <w:pPr>
              <w:ind w:left="9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92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2023 vs. 2022</w:t>
            </w:r>
          </w:p>
        </w:tc>
      </w:tr>
      <w:tr>
        <w:trPr>
          <w:trHeight w:val="223"/>
        </w:trPr>
        <w:tc>
          <w:tcPr>
            <w:tcW w:w="3500" w:type="dxa"/>
            <w:vAlign w:val="bottom"/>
            <w:tcBorders>
              <w:right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top w:val="single" w:sz="8" w:color="auto"/>
              <w:bottom w:val="single" w:sz="8" w:color="auto"/>
              <w:right w:val="single" w:sz="8" w:color="auto"/>
            </w:tcBorders>
          </w:tcPr>
          <w:p>
            <w:pPr>
              <w:spacing w:after="0"/>
              <w:rPr>
                <w:sz w:val="19"/>
                <w:szCs w:val="19"/>
                <w:color w:val="auto"/>
              </w:rPr>
            </w:pPr>
          </w:p>
        </w:tc>
        <w:tc>
          <w:tcPr>
            <w:tcW w:w="104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0" w:type="dxa"/>
            <w:vAlign w:val="bottom"/>
            <w:tcBorders>
              <w:top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Borders>
              <w:top w:val="single" w:sz="8" w:color="auto"/>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Borders>
              <w:top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Pr>
          <w:p>
            <w:pPr>
              <w:spacing w:after="0"/>
              <w:rPr>
                <w:sz w:val="19"/>
                <w:szCs w:val="19"/>
                <w:color w:val="auto"/>
              </w:rPr>
            </w:pPr>
          </w:p>
        </w:tc>
      </w:tr>
      <w:tr>
        <w:trPr>
          <w:trHeight w:val="223"/>
        </w:trPr>
        <w:tc>
          <w:tcPr>
            <w:tcW w:w="3500" w:type="dxa"/>
            <w:vAlign w:val="bottom"/>
            <w:tcBorders>
              <w:right w:val="single" w:sz="8" w:color="auto"/>
            </w:tcBorders>
          </w:tcPr>
          <w:p>
            <w:pPr>
              <w:spacing w:after="0"/>
              <w:rPr>
                <w:sz w:val="19"/>
                <w:szCs w:val="19"/>
                <w:color w:val="auto"/>
              </w:rPr>
            </w:pPr>
          </w:p>
        </w:tc>
        <w:tc>
          <w:tcPr>
            <w:tcW w:w="104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6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w:t>
            </w:r>
          </w:p>
        </w:tc>
        <w:tc>
          <w:tcPr>
            <w:tcW w:w="100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w:t>
            </w:r>
          </w:p>
        </w:tc>
        <w:tc>
          <w:tcPr>
            <w:tcW w:w="104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r>
      <w:tr>
        <w:trPr>
          <w:trHeight w:val="223"/>
        </w:trPr>
        <w:tc>
          <w:tcPr>
            <w:tcW w:w="350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 thousands, except percentage data)</w:t>
            </w:r>
          </w:p>
        </w:tc>
        <w:tc>
          <w:tcPr>
            <w:tcW w:w="10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5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r>
      <w:tr>
        <w:trPr>
          <w:trHeight w:val="223"/>
        </w:trPr>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5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9,351</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5,391</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3,727</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3,960</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0" w:type="dxa"/>
            <w:vAlign w:val="bottom"/>
          </w:tcPr>
          <w:p>
            <w:pPr>
              <w:spacing w:after="0"/>
              <w:rPr>
                <w:sz w:val="19"/>
                <w:szCs w:val="19"/>
                <w:color w:val="auto"/>
              </w:rPr>
            </w:pPr>
          </w:p>
        </w:tc>
      </w:tr>
      <w:tr>
        <w:trPr>
          <w:trHeight w:val="223"/>
        </w:trPr>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(82,582)</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(47,566)</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(32,402)</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(35,016)</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(15,164)</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r>
      <w:tr>
        <w:trPr>
          <w:trHeight w:val="223"/>
        </w:trPr>
        <w:tc>
          <w:tcPr>
            <w:tcW w:w="35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Manufacturing and distribution costs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0" w:type="dxa"/>
            <w:vAlign w:val="bottom"/>
          </w:tcPr>
          <w:p>
            <w:pPr>
              <w:spacing w:after="0"/>
              <w:rPr>
                <w:sz w:val="19"/>
                <w:szCs w:val="19"/>
                <w:color w:val="auto"/>
              </w:rPr>
            </w:pPr>
          </w:p>
        </w:tc>
      </w:tr>
      <w:tr>
        <w:trPr>
          <w:trHeight w:val="223"/>
        </w:trPr>
        <w:tc>
          <w:tcPr>
            <w:tcW w:w="35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administration costs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(gains)/losses (net)</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r>
      <w:tr>
        <w:trPr>
          <w:trHeight w:val="223"/>
        </w:trPr>
        <w:tc>
          <w:tcPr>
            <w:tcW w:w="35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(73,463)</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(42,496)</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(28,677)</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(30,967)</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0" w:type="dxa"/>
            <w:vAlign w:val="bottom"/>
          </w:tcPr>
          <w:p>
            <w:pPr>
              <w:spacing w:after="0"/>
              <w:rPr>
                <w:sz w:val="19"/>
                <w:szCs w:val="19"/>
                <w:color w:val="auto"/>
              </w:rPr>
            </w:pPr>
          </w:p>
        </w:tc>
      </w:tr>
      <w:tr>
        <w:trPr>
          <w:trHeight w:val="223"/>
        </w:trPr>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(gains)/losses (net)</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r>
      <w:tr>
        <w:trPr>
          <w:trHeight w:val="223"/>
        </w:trPr>
        <w:tc>
          <w:tcPr>
            <w:tcW w:w="35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r>
      <w:tr>
        <w:trPr>
          <w:trHeight w:val="223"/>
        </w:trPr>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(73,463)</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(42,451)</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(28,647)</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(31,012)</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(13,804)</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not meaningful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fiscal year ended December 31, 2024, revenue from contracts with customers for our Therapeutics segment consisted of A$9.4 million (2023: A$5.4 million) in R&amp;D services revenue. The year-over-year change in revenue from contracts with customers for our Therapeutics segment reflected higher investment in our R&amp;D expenditure toward new therapeutic product candidates in the year ended December 31, 2024, which resulted in higher R&amp;D services revenue from the Grand Pharma contract in the year ended December 31, 2024.</w:t>
      </w:r>
    </w:p>
    <w:p>
      <w:pPr>
        <w:spacing w:after="0" w:line="18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Adjusted EBITDA for the Therapeutics segment was a loss of A$73.5 million in 2024, compared to a loss of A$42.5 million in 2023, reflecting the increased R&amp;D investment towards patient recruitment and clinical manufacturing for the Phase 3 ProstACT GLOBAL trial.</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 the fiscal year ended December 31, 2023, revenue from contracts with customers for our Therapeutics segment consisted of A$0.1 million (2022: A$0.3 million) in intellectual property license revenue and A$5.3 million (2022: A$3.4 million) in R&amp;D services revenue. The year-over-year change in revenue from contracts with customers for our Therapeutics segment reflected higher investment in our R&amp;D expenditure toward new product candidates in the year ended December 31, 2023, paired with relatively low revenue generation attributable to intellectual property licensing and R&amp;D services contracts in the year ended December 31, 2023.</w:t>
      </w:r>
    </w:p>
    <w:p>
      <w:pPr>
        <w:spacing w:after="0" w:line="183" w:lineRule="exact"/>
        <w:rPr>
          <w:sz w:val="20"/>
          <w:szCs w:val="20"/>
          <w:color w:val="auto"/>
        </w:rPr>
      </w:pPr>
    </w:p>
    <w:p>
      <w:pPr>
        <w:ind w:left="20" w:right="620"/>
        <w:spacing w:after="0" w:line="282" w:lineRule="auto"/>
        <w:rPr>
          <w:sz w:val="20"/>
          <w:szCs w:val="20"/>
          <w:color w:val="auto"/>
        </w:rPr>
      </w:pPr>
      <w:r>
        <w:rPr>
          <w:rFonts w:ascii="Times New Roman" w:cs="Times New Roman" w:eastAsia="Times New Roman" w:hAnsi="Times New Roman"/>
          <w:sz w:val="18"/>
          <w:szCs w:val="18"/>
          <w:color w:val="auto"/>
        </w:rPr>
        <w:t>Adjusted EBITDA for the Therapeutics segment was a loss of A$42.5 million in 2023, compared to a loss of A$28.6 million in 2022, reflecting the increased R&amp;D investment towards progressing the core therapeutics pipeline, which includes the ProstACT GLOBAL trial.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Solutions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Manufacturing Solutions segment focuses on the operations of our vertically integrated supply chain and manufacturing business and includes our production facilities at Brussels South, IsoTherapeutics, Optimal Tracers and ARTMS. This segment comprises revenue generated from the provision of contract manufacturing services to companies in the radiopharmaceutical industry, as well as the operating expenses associated with our manufacturing solutions business.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results of operations for our Manufacturing Solutions segment for the fiscal years ended December 31, 2024, 2023 and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Borders>
              <w:right w:val="single" w:sz="8" w:color="auto"/>
            </w:tcBorders>
          </w:tcPr>
          <w:p>
            <w:pPr>
              <w:spacing w:after="0"/>
              <w:rPr>
                <w:sz w:val="19"/>
                <w:szCs w:val="19"/>
                <w:color w:val="auto"/>
              </w:rPr>
            </w:pPr>
          </w:p>
        </w:tc>
        <w:tc>
          <w:tcPr>
            <w:tcW w:w="33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2240" w:type="dxa"/>
            <w:vAlign w:val="bottom"/>
            <w:tcBorders>
              <w:right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4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2023 vs. 2022</w:t>
            </w:r>
          </w:p>
        </w:tc>
      </w:tr>
      <w:tr>
        <w:trPr>
          <w:trHeight w:val="223"/>
        </w:trPr>
        <w:tc>
          <w:tcPr>
            <w:tcW w:w="3400" w:type="dxa"/>
            <w:vAlign w:val="bottom"/>
            <w:tcBorders>
              <w:right w:val="single" w:sz="8" w:color="auto"/>
            </w:tcBorders>
          </w:tcPr>
          <w:p>
            <w:pPr>
              <w:spacing w:after="0"/>
              <w:rPr>
                <w:sz w:val="19"/>
                <w:szCs w:val="19"/>
                <w:color w:val="auto"/>
              </w:rPr>
            </w:pPr>
          </w:p>
        </w:tc>
        <w:tc>
          <w:tcPr>
            <w:tcW w:w="114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1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Borders>
              <w:top w:val="single" w:sz="8" w:color="auto"/>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Borders>
              <w:top w:val="single" w:sz="8" w:color="auto"/>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Pr>
          <w:p>
            <w:pPr>
              <w:spacing w:after="0"/>
              <w:rPr>
                <w:sz w:val="19"/>
                <w:szCs w:val="19"/>
                <w:color w:val="auto"/>
              </w:rPr>
            </w:pPr>
          </w:p>
        </w:tc>
      </w:tr>
      <w:tr>
        <w:trPr>
          <w:trHeight w:val="223"/>
        </w:trPr>
        <w:tc>
          <w:tcPr>
            <w:tcW w:w="3400" w:type="dxa"/>
            <w:vAlign w:val="bottom"/>
            <w:tcBorders>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11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112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w:t>
            </w: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 data)</w:t>
            </w:r>
          </w:p>
        </w:tc>
        <w:tc>
          <w:tcPr>
            <w:tcW w:w="1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Manufacturing and distribution costs</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(17,920)</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administration costs</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(gains)/losses (net)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(25,038)</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(5,934)</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(2,148)</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(19,104)</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(gains)/losses (net)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9"/>
                <w:szCs w:val="19"/>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(23,868)</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(5,703)</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(2,127)</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(18,165)</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2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not meaningful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fiscal year ended December 31, 2024, revenue from contracts with customers for our Manufacturing Solutions segment consisted of A$2.8 million (2023: A$0.4 million) in services revenue, with the year-over-year increase related to operations of IsoTherapeutics business acquired during the year.</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Manufacturing and distribution costs were A$17.9 million and general and administration costs were A$5.8 million for our Manufacturing Solutions segment for the year ended December 31, 2024 (compared to A$2.2 million and A$3.5 million for the year ended December 31, 2023, respectively). These increases were predominantly driven by increased personnel and occupancy costs from the newly acquired ARTMS and IsoTherapeutics businesses, combined with increased activity to prepare the Brussels South facility for GMP commercial production</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fiscal year ended December 31, 2024, Adjusted EBITDA for the Manufacturing Services segment was a loss of A$23.9 million, compared to A$5.7 in the fiscal year ended December 31, 2023. The year-over-year change in Adjusted EBITDA was driven by increased investment in our manufacturing, supply chain and logistics functions and the continued buildout of our Brussels South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fiscal year ended December 31, 2023, revenue from contracts with customers for our Manufacturing Solutions segment consisted of A$0.4 million in services revenue, with the year-over-year increase related to operations of Optimal Tracers business acquired in 2022.</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Manufacturing and distribution costs were A$2.2 million and general and administration costs were A$3.5 million for the year ended December 31, 2023 (compared to A$1.4 million and A$0.8 for the year ended December 31, 2022, respectively). These increases were predominantly driven by increased activity to build out manufacturing capabilities of the Brussels South facility.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 ended December 31, 2023, Adjusted EBITDA for the Manufacturing Services segment was a loss of A$5.7 million, compared to A$2.1 million in the fiscal year ended December 31, 2023. The year-over-year change in Adjusted EBITDA was driven by increased investment in our buildout of our Brussels South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our segment reporting, see note 3 to our audited consolidated financial statements appearing elsewhere in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Refer to note 2.2b and 2.2c within our Material accounting policy information for a summary of recently adopted or yet to be adopted accounting pronouncements.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See “Item 3. Key Information — D. Risk Factors—We have identified material weaknesses in our internal control over financial reporting” and “Item 15.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a company with less than US$1.235 billion in revenue during our last fiscal year, 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176" w:lineRule="exact"/>
        <w:rPr>
          <w:sz w:val="20"/>
          <w:szCs w:val="20"/>
          <w:color w:val="auto"/>
        </w:rPr>
      </w:pPr>
    </w:p>
    <w:p>
      <w:pPr>
        <w:ind w:left="340" w:hanging="238"/>
        <w:spacing w:after="0" w:line="261" w:lineRule="auto"/>
        <w:tabs>
          <w:tab w:leader="none" w:pos="340" w:val="left"/>
        </w:tabs>
        <w:numPr>
          <w:ilvl w:val="0"/>
          <w:numId w:val="9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exemption from the auditor attestation requirement of Section 404 of the Sarbanes-Oxley Act of 2002, or the Sarbanes-Oxley Act, in the assessment of our internal control over financial reporting; and</w:t>
      </w:r>
    </w:p>
    <w:p>
      <w:pPr>
        <w:jc w:val="both"/>
        <w:ind w:left="340" w:right="220" w:hanging="238"/>
        <w:spacing w:after="0" w:line="255" w:lineRule="auto"/>
        <w:tabs>
          <w:tab w:leader="none" w:pos="340" w:val="left"/>
        </w:tabs>
        <w:numPr>
          <w:ilvl w:val="0"/>
          <w:numId w:val="9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to the extent that we no longer qualify as a foreign private issuer, (i) certain reduced disclosure obligations regarding executive compensation in our periodic reports, proxy statements and registration statements and (ii) exemptions from the requirements of holding a non-binding advisory vote on executive compensation, including golden parachute compensation.</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may take advantage of these exemptions until such time that we are no longer an emerging growth company. Accordingly, the information that we provide shareholders and holders of the ADSs may be different than you might obtain from other public companies. We will cease to be an emerging growth company upon the earliest to occur of (i) the last day of the fiscal year in which we have more than US$1.235 billion in annual revenue; (ii) the last day of the fiscal year in which we qualify as a “large accelerated filer”; (iii) the date on which we have, during the previous three-year period, issued more than US$1.0 billion in non-convertible debt securities; and (iv) the last day of the fiscal year in which the fifth anniversary of our first sale of common equity securities pursuant to an effective registration statement under the Securities Act occurs.</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use the extended transition period provided in Section 7(a)(2)(B) of the Securities Act for complying with new or revised accounting standards. Given that we currently report and expect to continue to report under IFRS Accounting Standards, as issued by the IASB, we have irrevocably elected not to avail ourselves of this extended transition period and, as a result, we will adopt new or revised accounting standards on the relevant dates on which adoption of such standards is required by the IASB.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Status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report under the Exchange Act as a “foreign private issuer” under U.S. securities laws. In our capacity as a foreign private issuer, we are exempt from certain laws and regulations of the SEC and certain regulations of Nasdaq.</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Consequently, we are not subject to all of the disclosure requirements applicable to U.S. domestic public companies. For example, we are exempt from certain rules under the Exchange Act, as amended, that impose certain disclosure obligations and procedural requirements for proxy solicitations under Section 14 of the Exchange Act. In addition, our executive officers, the members of our board of directors and our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18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will remain a foreign private issuer until such time that 50% or more of our outstanding voting securities are held by U.S. residents and any of the following three circumstances applies: (i) the majority of the members of our board of directors or our global management team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have taken advantage of certain reduced reporting and other requirements in this annual report. Accordingly, the information contained herein may be different from the information you receive from other public companies.</w:t>
      </w:r>
    </w:p>
    <w:p>
      <w:pPr>
        <w:spacing w:after="0" w:line="158" w:lineRule="exact"/>
        <w:rPr>
          <w:sz w:val="20"/>
          <w:szCs w:val="20"/>
          <w:color w:val="auto"/>
        </w:rPr>
      </w:pPr>
    </w:p>
    <w:p>
      <w:pPr>
        <w:ind w:left="400" w:hanging="392"/>
        <w:spacing w:after="0"/>
        <w:tabs>
          <w:tab w:leader="none" w:pos="40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Prior to the fiscal year ended December 31, 2023, we incurred operating losses in each year since our founding. We anticipate that as we expand through strategic acquisitions, increase our sales and marketing efforts, expand our investment in R&amp;D and incur additional costs associated with being a public company, we will need additional capital to fund our operations, which we may raise through a combination of equity offerings, debt financings, strategic collaborations and other third-party funding arrangements. Our future liquidity and capital resources will depend on product revenue from the successful continued commercialization of Illuccix, revenue from any future products for which we obtain regulatory approval and the R&amp;D costs and other expenditure necessary to support these initiatives and future products. Our total comprehensive income was A$92.6 million, for the year ended December 31, 2024. Our total comprehensive loss was A$0.5 million and A$103.5 million for the years ended December 31, 2023 and 2022, respectively. As of December 31, 2024, we had cash and cash equivalents of A$710.3 million and accumulated losses of A$213.0 million. As of December 31, 2024, we held 32.0% of our cash in Australian dollars, 64.8% in U.S. dollars, 2.8% in Euros, 0.1% in British pounds, 0.1% in Canadian dollars and 0.1% in Swiss Francs.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operations have been financed primarily through cash generated by our commercial operations and the issuance and sale of new ordinary shares. We have raised aggregate proceeds of A$272.9 million (before deducting share issuance costs) between January 1, 2018 and December 31, 2024 from the issuance and sale of new ordinary shares. In January 2022, we completed an institutional placement of 22,727,601 ordinary shares at a price per share of A$7.70 per share for aggregate gross proceeds of A$175.0 million. Additionally, in July 2024, we issued A$650.0 million of Convertible Bonds and received net proceeds of A$635.0 million. We have also received an aggregate of A$52.4 million between January 1, 2018 and December 31, 2024 under the Australian government’s R&amp;D Tax Incentive Scheme for the funding of the development and clinical trials of new products. We did not recognize any amounts in relation to the R&amp;D Tax Incentive Scheme in 2022, 2023 or 2024, due to global revenue exceeding the threshold of A$20 million.</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intend to leverage our commercial revenues and a portion of the proceeds raised from the issuance of the Convertible Bonds as a source of funding for the development of additional therapeutic and diagnostic product candidates in our pipeline, including conducting label-expanding trials across our portfolio of diagnostic imaging agents and advancing clinical trials for our therapeutic product candidates. In addition, the net proceeds from the issuance of the Convertible Bonds will provide financial flexibility for us to explore opportunities and potentially pursue strategic acquisitions and continued investment in our global supply chain and manufacturing capabilities. In the years ended December 31, 2024, 2023 and 2022, we received A$718.1 million, A$463.7 million and A$124.1 million respectively, in receipts from customers, which predominantly consisted of collections from sales of Illuccix.</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first quarter of 2022, we entered into two loan agreements whereby BNP Paribas agreed to lend us A$10.2 million and IMBC Group agreed to lend us A$6.7 million. Each loan is denominated in Euros, in the amounts of €6.1 million and €4.0 million, respectively, and have been translated to Australian dollars based on the applicable exchange rate as of December 31, 2024. Each loan has a 10-year term and an interest rate of 1.85% per annum, payable monthly, and each is repayable in 96 monthly installments beginning at the end of a two-year grace period. As of December 31, 2024, the outstanding balance of these facilities was A$15.3 million (translated based on the applicable exchange rate as of December 31, 2024). In connection with the loan agreement with BNP Paribas, we also entered a roll-over loan agreement whereby BNP Paribas agreed to lend us an additional A$3.3 million (€2.0 million, translated based on the applicable exchange rate as of December 31, 2024). The loan has a two-year extendable term and a per annum interest rate calculated by adding the eurozone interbank interest rate as of the determination date to a 1.5% margin, payable based on our choice of interest period ranging from 1 month to 12 months for each advance (with a default interest period of three months if no alternative is chosen), and it is repayable in full upon its expiration date. As of December 31, 2024, we have drawn down A$ Nil from this facility. We have used the borrowings from these loans in order to fund the renovation and redevelopment of our Brussels South production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29"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resources and cash that we expect to generate from sales of Illuccix will be sufficient to meet our projected operating expenses and capital expenditure requirements for at least the next 12 months, as well as our anticipated longer-term cash requirements and obligations. Our expectations regarding our short-term and long-term funding requirements are based on assumptions that may prove to be wrong, and we may need additional capital resources to fund our operating plans and capital expenditure requirements.</w:t>
      </w:r>
    </w:p>
    <w:p>
      <w:pPr>
        <w:sectPr>
          <w:pgSz w:w="11900" w:h="16838" w:orient="portrait"/>
          <w:cols w:equalWidth="0" w:num="1">
            <w:col w:w="11240"/>
          </w:cols>
          <w:pgMar w:left="320" w:top="116" w:right="339" w:bottom="0" w:gutter="0" w:footer="0" w:header="0"/>
        </w:sectPr>
      </w:pPr>
    </w:p>
    <w:bookmarkStart w:id="194" w:name="page195"/>
    <w:bookmarkEnd w:id="194"/>
    <w:p>
      <w:pPr>
        <w:spacing w:after="0" w:line="253"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commercialization of Illuccix and any other product for which we receive regulatory approval and continue clinical development of our therapeutic product candidates. Further, we expect to continue to incur additional costs associated with operating as a public company in the United States. Accordingly, we will need to obtain substantial funding in connection with our continuing operations. Until we can generate a sufficient amount of revenue from the sale of approved products, if ever, we expect to finance our operating activities through cash generated from commercial sales, existing cash and cash equivalents and financing activities, which may include equity offerings, debt financings, collaborations, strategic alliances and licensing arrangements. To the extent that we raise capital through the sale of equity or convertible debt securities, the ownership interest of our investors will be diluted, and the terms of these securities may include liquidation or other preferences that adversely affect the rights of holders of ADSs. Debt financing, if available, may involve agreements that include covenants limiting or restricting our ability to take specific actions, such as incurring additional debt, making capital expenditures or declaring dividends. If we raise funds through collaborations, strategic alliances or licensing arrangements with third parties, we may have to relinquish valuable rights to our technologies, intellectual property, future revenue streams or product candidates. If we are unable to raise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 among other things:</w:t>
      </w:r>
    </w:p>
    <w:p>
      <w:pPr>
        <w:spacing w:after="0" w:line="225" w:lineRule="exact"/>
        <w:rPr>
          <w:sz w:val="20"/>
          <w:szCs w:val="20"/>
          <w:color w:val="auto"/>
        </w:rPr>
      </w:pPr>
    </w:p>
    <w:p>
      <w:pPr>
        <w:ind w:left="340" w:hanging="238"/>
        <w:spacing w:after="0"/>
        <w:tabs>
          <w:tab w:leader="none" w:pos="340" w:val="left"/>
        </w:tabs>
        <w:numPr>
          <w:ilvl w:val="0"/>
          <w:numId w:val="9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amount of revenue received from commercial sales of Illuccix and any of our product candidates for which we may receive marketing approval;</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9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initiation, progress, timing, costs and results of our clinical trials for our product candidates;</w:t>
      </w:r>
    </w:p>
    <w:p>
      <w:pPr>
        <w:spacing w:after="0" w:line="9" w:lineRule="exact"/>
        <w:rPr>
          <w:rFonts w:ascii="Times New Roman" w:cs="Times New Roman" w:eastAsia="Times New Roman" w:hAnsi="Times New Roman"/>
          <w:sz w:val="18"/>
          <w:szCs w:val="18"/>
          <w:color w:val="0A2E94"/>
        </w:rPr>
      </w:pPr>
    </w:p>
    <w:p>
      <w:pPr>
        <w:ind w:left="340" w:right="120" w:hanging="238"/>
        <w:spacing w:after="0" w:line="250" w:lineRule="auto"/>
        <w:tabs>
          <w:tab w:leader="none" w:pos="340" w:val="left"/>
        </w:tabs>
        <w:numPr>
          <w:ilvl w:val="0"/>
          <w:numId w:val="9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costs associated with in-licensing or acquiring assets to expand our pipeline, acquiring businesses or assets to vertically integrate our supply chain and manufacturing and acquiring complementary business;</w:t>
      </w:r>
    </w:p>
    <w:p>
      <w:pPr>
        <w:ind w:left="340" w:hanging="238"/>
        <w:spacing w:after="0"/>
        <w:tabs>
          <w:tab w:leader="none" w:pos="340" w:val="left"/>
        </w:tabs>
        <w:numPr>
          <w:ilvl w:val="0"/>
          <w:numId w:val="9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amount of milestones and royalties that we may be required to pay under existing acquisition and licensing agreements;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9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costs associated with expanding our organization;</w:t>
      </w:r>
    </w:p>
    <w:p>
      <w:pPr>
        <w:spacing w:after="0" w:line="9" w:lineRule="exact"/>
        <w:rPr>
          <w:rFonts w:ascii="Times New Roman" w:cs="Times New Roman" w:eastAsia="Times New Roman" w:hAnsi="Times New Roman"/>
          <w:sz w:val="18"/>
          <w:szCs w:val="18"/>
          <w:color w:val="0A2E94"/>
        </w:rPr>
      </w:pPr>
    </w:p>
    <w:p>
      <w:pPr>
        <w:ind w:left="340" w:right="500" w:hanging="238"/>
        <w:spacing w:after="0" w:line="250" w:lineRule="auto"/>
        <w:tabs>
          <w:tab w:leader="none" w:pos="340" w:val="left"/>
        </w:tabs>
        <w:numPr>
          <w:ilvl w:val="0"/>
          <w:numId w:val="9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costs involved in filing patent applications and maintaining and enforcing patents or defending against claims of infringement raised by third parties;</w:t>
      </w:r>
    </w:p>
    <w:p>
      <w:pPr>
        <w:ind w:left="340" w:right="500" w:hanging="238"/>
        <w:spacing w:after="0" w:line="250" w:lineRule="auto"/>
        <w:tabs>
          <w:tab w:leader="none" w:pos="340" w:val="left"/>
        </w:tabs>
        <w:numPr>
          <w:ilvl w:val="0"/>
          <w:numId w:val="9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time and costs involved in obtaining regulatory approval for our product candidates and any delays we may encounter as a result of evolving regulatory requirements or adverse results with respect to any of these product candidates; and</w:t>
      </w:r>
    </w:p>
    <w:p>
      <w:pPr>
        <w:ind w:left="340" w:hanging="238"/>
        <w:spacing w:after="0"/>
        <w:tabs>
          <w:tab w:leader="none" w:pos="340" w:val="left"/>
        </w:tabs>
        <w:numPr>
          <w:ilvl w:val="0"/>
          <w:numId w:val="9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costs of operating as a public listed company in both Australia and the United States.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as to the risks associated with our future funding needs, see “Item 3. Key Information — D.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18"/>
                <w:szCs w:val="18"/>
                <w:color w:val="auto"/>
              </w:rPr>
            </w:pPr>
          </w:p>
        </w:tc>
        <w:tc>
          <w:tcPr>
            <w:tcW w:w="14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18"/>
                <w:szCs w:val="18"/>
                <w:color w:val="auto"/>
              </w:rPr>
            </w:pPr>
          </w:p>
        </w:tc>
        <w:tc>
          <w:tcPr>
            <w:tcW w:w="14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tcBorders>
              <w:right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right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w:t>
            </w:r>
          </w:p>
        </w:tc>
        <w:tc>
          <w:tcPr>
            <w:tcW w:w="20" w:type="dxa"/>
            <w:vAlign w:val="bottom"/>
            <w:tcBorders>
              <w:bottom w:val="single" w:sz="8" w:color="auto"/>
            </w:tcBorders>
            <w:shd w:val="clear" w:color="auto" w:fill="000000"/>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20" w:type="dxa"/>
            <w:vAlign w:val="bottom"/>
            <w:tcBorders>
              <w:bottom w:val="single" w:sz="8" w:color="auto"/>
            </w:tcBorders>
            <w:shd w:val="clear" w:color="auto" w:fill="000000"/>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4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from/(used in) operating activities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43,029</w:t>
            </w:r>
          </w:p>
        </w:tc>
        <w:tc>
          <w:tcPr>
            <w:tcW w:w="20" w:type="dxa"/>
            <w:vAlign w:val="bottom"/>
            <w:tcBorders>
              <w:bottom w:val="single" w:sz="8" w:color="auto"/>
            </w:tcBorders>
            <w:shd w:val="clear" w:color="auto" w:fill="000000"/>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23,884</w:t>
            </w:r>
          </w:p>
        </w:tc>
        <w:tc>
          <w:tcPr>
            <w:tcW w:w="20" w:type="dxa"/>
            <w:vAlign w:val="bottom"/>
            <w:tcBorders>
              <w:bottom w:val="single" w:sz="8" w:color="auto"/>
            </w:tcBorders>
            <w:shd w:val="clear" w:color="auto" w:fill="000000"/>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(135,173)</w:t>
            </w:r>
          </w:p>
        </w:tc>
        <w:tc>
          <w:tcPr>
            <w:tcW w:w="20" w:type="dxa"/>
            <w:vAlign w:val="bottom"/>
            <w:tcBorders>
              <w:bottom w:val="single" w:sz="8" w:color="auto"/>
            </w:tcBorders>
            <w:shd w:val="clear" w:color="auto" w:fill="000000"/>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(25,489)</w:t>
            </w:r>
          </w:p>
        </w:tc>
        <w:tc>
          <w:tcPr>
            <w:tcW w:w="20" w:type="dxa"/>
            <w:vAlign w:val="bottom"/>
            <w:tcBorders>
              <w:bottom w:val="single" w:sz="8" w:color="auto"/>
            </w:tcBorders>
            <w:shd w:val="clear" w:color="auto" w:fill="000000"/>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638,923</w:t>
            </w:r>
          </w:p>
        </w:tc>
        <w:tc>
          <w:tcPr>
            <w:tcW w:w="20" w:type="dxa"/>
            <w:vAlign w:val="bottom"/>
            <w:tcBorders>
              <w:bottom w:val="single" w:sz="8" w:color="auto"/>
            </w:tcBorders>
            <w:shd w:val="clear" w:color="auto" w:fill="000000"/>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w:t>
            </w:r>
          </w:p>
        </w:tc>
        <w:tc>
          <w:tcPr>
            <w:tcW w:w="20" w:type="dxa"/>
            <w:vAlign w:val="bottom"/>
            <w:tcBorders>
              <w:bottom w:val="single" w:sz="8" w:color="auto"/>
            </w:tcBorders>
            <w:shd w:val="clear" w:color="auto" w:fill="000000"/>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546,779</w:t>
            </w:r>
          </w:p>
        </w:tc>
        <w:tc>
          <w:tcPr>
            <w:tcW w:w="20" w:type="dxa"/>
            <w:vAlign w:val="bottom"/>
            <w:tcBorders>
              <w:bottom w:val="single" w:sz="8" w:color="auto"/>
            </w:tcBorders>
            <w:shd w:val="clear" w:color="auto" w:fill="000000"/>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8,581</w:t>
            </w:r>
          </w:p>
        </w:tc>
        <w:tc>
          <w:tcPr>
            <w:tcW w:w="20" w:type="dxa"/>
            <w:vAlign w:val="bottom"/>
            <w:tcBorders>
              <w:bottom w:val="single" w:sz="8" w:color="auto"/>
            </w:tcBorders>
            <w:shd w:val="clear" w:color="auto" w:fill="000000"/>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93,993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from operating activities was A$43.0 million during the year ended December 31, 2024. The primary source of cash from operating activities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A$718.1 million in receipts from customers, which predominantly consisted of collections from sales of Illuccix. The primary uses of cash in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were payments to suppliers and employees, including A$251.6 million spent on dose administration fees, royalties and manufacturing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A$198.9 million spent on R&amp;D expenditures, and A$39.8 million spent on selling and marketing efforts. Other operating cash outflows included A$35.9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contingent consideration payments and A$2.8 million in income tax payments.</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cash generated from operating activities was A$23.9 million during the year ended December 31, 2023. The primary source of cash from operating activities was A$463.7 million in receipts from customers, which predominantly consisted of collections from sales of Illuccix. The primary uses of cash in operating activities were payments to suppliers and employees, including A$183.1 million spent on dose administration fees, royalties and manufacturing costs, A$118.9 million spent on R&amp;D expenditures, and A$42.5 million spent on selling and marketing efforts. Other operating cash outflows included A$16.3 million in contingent consideration payments to former ANMI shareholders and A$10.3 million in income tax payments.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A$64.0 million during the year ended December 31, 2022. The primary sources of cash from operating activities were A$124.1 million in receipts from customers, which predominantly consisted of collections from sales of Illuccix, and A$18.9 million received in R&amp;D tax incentives. The primary uses of cash in operating activities were payments to suppliers and employees, including A$50.6 million spent on manufacturing costs, A$73.2 million spent on R&amp;D expenditures and A$15.2 million spent on selling and marketing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Net cash used in investing activities was A$135.2 million during the year ended December 31, 2024. The primary uses of cash in investing activities were A$52.0 million in financial assets, which included a A$50.0 million cash deposit into a cash security account to establish a working capital facility. We also invested A$30.9 million in payments toward our acquisitions of IsoTherapeutics and ARTMS, A$19.7 million in payments related to the acquisition of intellectual property associated with QSAM, A$14.5 million in payments toward the purchase of isotope raw material purchases and A$14.3 million in property, plant and equipment purchases for the buildout of our manufacturing facility in Belgium.</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A$25.5 million during the year ended December 31, 2023. The primary uses of cash in investing activities were A$13.2 million in payments toward our acquisition of QSAM and strategic investment in Mauna Kea and A$9.7 million in property, plant and equipment purchases for the buildout of our manufacturing facility in Belgium.</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totaling A$17.0 million during the year ended December 31, 2022 was primarily comprised of A$6.8 million paid for the in-license to the worldwide rights to develop and commercialize radiolabeled forms of olaratumab for the diagnosis and treatment of human cancers, A$7.0 million paid for the construction of our manufacturing facilities in Belgium and A$2.2 million paid for the decommissioning and removal of two cyclotrons at our manufacturing facilities in Belgium.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31"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2024, net cash provided by financing activities totaled A$638.9 million. Financing activity cash flows included A$1.0 million received from the issuance of new ordinary shares on the exercise of options previously granted to employees,net proceeds of A$639.9 million received from $635.0 million proceeds received from the issue of convertible bonds and $4.9 million of net loan proceeds related to the loan facilities provided for the construction of our manufacturing facility in Belgium and A$2.0 million paid toward lease liabilities.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net cash provided by financing activities totaled A$10.2 million. Financing activity cash flows included A$6.7 million received from the issuance of new ordinary shares on the exercise of options previously granted to employees, proceeds of A$5.8 million received from borrowings related to the loan facilities provided for the construction of our manufacturing facility in Belgium and A$2.2 million paid toward lease liabilities.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net cash provided by financing activities totaling A$175.0 million was primarily comprised of A$173.2 million (net of transaction costs) received from the issuance of new ordinary shares in connection with the exercise of options previously granted to employees and a private placement to institutional investors. Other financing activities comprised A$3.0 million received from borrowings related to the loan facilities provided for the construction of our manufacturing facility in Belgium and A$1.3 million paid toward lease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commitments against existing development activities and capital commitments relating to the purchase of isotope raw materials from a vendor over a three year period. R&amp;D commitments are estimated based on the contractual obligations included within agreements entered into by us, to the extent that a work order has been executed with the vendor.</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Certain of our supply agreements contain minimum purchase commitments in certain situations, the amount and timing of which are not known. Additionally, we enter into contracts in the normal course of business with clinical trial sites and clinical supply manufacturers and with vendors for preclinical studies and clinical trials, research supplies and other services and drugs for operating purposes. These contracts generally provide for termination after a notice period, and, therefore, are cancellable contracts.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entered into collaboration arrangements, including in-licensing arrangements with various companies. Such collaboration agreements may require us to make payments on achievement of stages of development, launch or revenue milestones and may include variable payments that are based on unit sales or profit (e.g., royalty and profit share payments). The amount of variable payments under the arrangements are inherently uncertain and difficult to predict, given the direct link to future sales, profit levels and the range of outcomes. These payments are not included in this table of contractual obligations. For additional details regarding these agreements, see “Item 4. Information on the Company — B. Business Overview.”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2024, grouped as payments due by period: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40" w:type="dxa"/>
            <w:vAlign w:val="bottom"/>
            <w:tcBorders>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&lt;1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&gt;5</w:t>
            </w:r>
          </w:p>
        </w:tc>
        <w:tc>
          <w:tcPr>
            <w:tcW w:w="20" w:type="dxa"/>
            <w:vAlign w:val="bottom"/>
          </w:tcPr>
          <w:p>
            <w:pPr>
              <w:spacing w:after="0"/>
              <w:rPr>
                <w:sz w:val="18"/>
                <w:szCs w:val="18"/>
                <w:color w:val="auto"/>
              </w:rPr>
            </w:pPr>
          </w:p>
        </w:tc>
      </w:tr>
      <w:tr>
        <w:trPr>
          <w:trHeight w:val="223"/>
        </w:trPr>
        <w:tc>
          <w:tcPr>
            <w:tcW w:w="3940" w:type="dxa"/>
            <w:vAlign w:val="bottom"/>
            <w:tcBorders>
              <w:right w:val="single" w:sz="8" w:color="auto"/>
            </w:tcBorders>
          </w:tcPr>
          <w:p>
            <w:pPr>
              <w:spacing w:after="0"/>
              <w:rPr>
                <w:sz w:val="19"/>
                <w:szCs w:val="19"/>
                <w:color w:val="auto"/>
              </w:rPr>
            </w:pPr>
          </w:p>
        </w:tc>
        <w:tc>
          <w:tcPr>
            <w:tcW w:w="9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5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0" w:type="dxa"/>
            <w:vAlign w:val="bottom"/>
          </w:tcPr>
          <w:p>
            <w:pPr>
              <w:spacing w:after="0"/>
              <w:rPr>
                <w:sz w:val="19"/>
                <w:szCs w:val="19"/>
                <w:color w:val="auto"/>
              </w:rPr>
            </w:pPr>
          </w:p>
        </w:tc>
      </w:tr>
      <w:tr>
        <w:trPr>
          <w:trHeight w:val="223"/>
        </w:trPr>
        <w:tc>
          <w:tcPr>
            <w:tcW w:w="39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5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20" w:type="dxa"/>
            <w:vAlign w:val="bottom"/>
          </w:tcPr>
          <w:p>
            <w:pPr>
              <w:spacing w:after="0"/>
              <w:rPr>
                <w:sz w:val="19"/>
                <w:szCs w:val="19"/>
                <w:color w:val="auto"/>
              </w:rPr>
            </w:pPr>
          </w:p>
        </w:tc>
      </w:tr>
      <w:tr>
        <w:trPr>
          <w:trHeight w:val="223"/>
        </w:trPr>
        <w:tc>
          <w:tcPr>
            <w:tcW w:w="39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9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commitments</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65,181</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42,679</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22,247</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3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R&amp;D commitments</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37,771</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30,151</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Liabilities</w:t>
      </w:r>
    </w:p>
    <w:p>
      <w:pPr>
        <w:spacing w:after="0" w:line="31"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Several of the definitive agreements governing our strategic acquisitions provide for payments that are contingent upon future performance metrics. The table above does not include any amounts related to these obligations. These obligations are recorded within current and non-current liabilities on our consolidated statement of financial position. The following table summarizes our contingent consideration liabilities associated with business combinations, measured at fair value as of December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ANMI</w:t>
            </w:r>
          </w:p>
        </w:tc>
        <w:tc>
          <w:tcPr>
            <w:tcW w:w="14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TheraPharm</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Optimal</w:t>
            </w:r>
          </w:p>
        </w:tc>
        <w:tc>
          <w:tcPr>
            <w:tcW w:w="180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IsoTherapeutics</w:t>
            </w:r>
          </w:p>
        </w:tc>
        <w:tc>
          <w:tcPr>
            <w:tcW w:w="114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ARTMS</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3500" w:type="dxa"/>
            <w:vAlign w:val="bottom"/>
            <w:tcBorders>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Tracers</w:t>
            </w:r>
          </w:p>
        </w:tc>
        <w:tc>
          <w:tcPr>
            <w:tcW w:w="180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3500" w:type="dxa"/>
            <w:vAlign w:val="bottom"/>
            <w:tcBorders>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w:t>
            </w:r>
          </w:p>
        </w:tc>
        <w:tc>
          <w:tcPr>
            <w:tcW w:w="144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1800" w:type="dxa"/>
            <w:vAlign w:val="bottom"/>
            <w:tcBorders>
              <w:bottom w:val="single" w:sz="8" w:color="auto"/>
              <w:right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A$</w:t>
            </w:r>
          </w:p>
        </w:tc>
        <w:tc>
          <w:tcPr>
            <w:tcW w:w="114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w:t>
            </w: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w:t>
            </w:r>
          </w:p>
        </w:tc>
        <w:tc>
          <w:tcPr>
            <w:tcW w:w="20" w:type="dxa"/>
            <w:vAlign w:val="bottom"/>
          </w:tcPr>
          <w:p>
            <w:pPr>
              <w:spacing w:after="0"/>
              <w:rPr>
                <w:sz w:val="19"/>
                <w:szCs w:val="19"/>
                <w:color w:val="auto"/>
              </w:rPr>
            </w:pPr>
          </w:p>
        </w:tc>
      </w:tr>
      <w:tr>
        <w:trPr>
          <w:trHeight w:val="223"/>
        </w:trPr>
        <w:tc>
          <w:tcPr>
            <w:tcW w:w="35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2"/>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5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77,798</w:t>
            </w:r>
          </w:p>
        </w:tc>
        <w:tc>
          <w:tcPr>
            <w:tcW w:w="14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85,910</w:t>
            </w:r>
          </w:p>
        </w:tc>
        <w:tc>
          <w:tcPr>
            <w:tcW w:w="20" w:type="dxa"/>
            <w:vAlign w:val="bottom"/>
          </w:tcPr>
          <w:p>
            <w:pPr>
              <w:spacing w:after="0"/>
              <w:rPr>
                <w:sz w:val="19"/>
                <w:szCs w:val="19"/>
                <w:color w:val="auto"/>
              </w:rPr>
            </w:pPr>
          </w:p>
        </w:tc>
      </w:tr>
      <w:tr>
        <w:trPr>
          <w:trHeight w:val="223"/>
        </w:trPr>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Non-current</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30,406</w:t>
            </w:r>
          </w:p>
        </w:tc>
        <w:tc>
          <w:tcPr>
            <w:tcW w:w="20" w:type="dxa"/>
            <w:vAlign w:val="bottom"/>
          </w:tcPr>
          <w:p>
            <w:pPr>
              <w:spacing w:after="0"/>
              <w:rPr>
                <w:sz w:val="19"/>
                <w:szCs w:val="19"/>
                <w:color w:val="auto"/>
              </w:rPr>
            </w:pPr>
          </w:p>
        </w:tc>
      </w:tr>
      <w:tr>
        <w:trPr>
          <w:trHeight w:val="223"/>
        </w:trPr>
        <w:tc>
          <w:tcPr>
            <w:tcW w:w="35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contingent consideration</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77,798</w:t>
            </w:r>
          </w:p>
        </w:tc>
        <w:tc>
          <w:tcPr>
            <w:tcW w:w="14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4,317</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8,072</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26,089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116,316</w:t>
            </w:r>
          </w:p>
        </w:tc>
        <w:tc>
          <w:tcPr>
            <w:tcW w:w="20" w:type="dxa"/>
            <w:vAlign w:val="bottom"/>
          </w:tcPr>
          <w:p>
            <w:pPr>
              <w:spacing w:after="0"/>
              <w:rPr>
                <w:sz w:val="19"/>
                <w:szCs w:val="19"/>
                <w:color w:val="auto"/>
              </w:rPr>
            </w:pPr>
          </w:p>
        </w:tc>
      </w:tr>
    </w:tbl>
    <w:p>
      <w:pPr>
        <w:spacing w:after="0" w:line="19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These contingent consideration arrangements include payouts based on percentage of revenue or net sales metrics and payouts of fixed amounts based on the achievement of certain milestones. The valuation of any future payments under these arrangements utilizes multiple assumptions in calculating a number of unobservable quantitative inputs. A change in the most significant input, such as sales volumes, by an increase/(decrease) of 10% while holding all other variables constant would increase/(decrease) our profit before tax for the fiscal year ended December 31, 2024 by A$3.0 million. See Note 27 to our audited consolidated financial statements appearing elsewhere in this annual report for more information on the impact of sensitivities from reasonably possible changes in these assumptions where applicable and Note 32.6 to our audited consolidated financial statements appearing elsewhere in this annual report for more information on our valuation processes. A summary of the assumptions we use in the valuation of contingent consideration liabilities is as follows:</w:t>
      </w:r>
    </w:p>
    <w:p>
      <w:pPr>
        <w:spacing w:after="0" w:line="192" w:lineRule="exact"/>
        <w:rPr>
          <w:sz w:val="20"/>
          <w:szCs w:val="20"/>
          <w:color w:val="auto"/>
        </w:rPr>
      </w:pPr>
    </w:p>
    <w:p>
      <w:pPr>
        <w:ind w:left="340" w:right="400" w:hanging="238"/>
        <w:spacing w:after="0" w:line="261" w:lineRule="auto"/>
        <w:tabs>
          <w:tab w:leader="none" w:pos="340" w:val="left"/>
        </w:tabs>
        <w:numPr>
          <w:ilvl w:val="0"/>
          <w:numId w:val="9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post-tax discount rate, as determined by an independent third party based on required rates of returns of listed companies in the biotechnology industry (taking into account their stage of development, size and risk adjustments);</w:t>
      </w:r>
    </w:p>
    <w:p>
      <w:pPr>
        <w:ind w:left="340" w:right="640" w:hanging="238"/>
        <w:spacing w:after="0" w:line="250" w:lineRule="auto"/>
        <w:tabs>
          <w:tab w:leader="none" w:pos="340" w:val="left"/>
        </w:tabs>
        <w:numPr>
          <w:ilvl w:val="0"/>
          <w:numId w:val="9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regulatory/marketing authorization approval dates and approval for marketing authorization probability success factors, as determined through benchmarking of historic approval rates and derived in consultation with our regulatory team; and</w:t>
      </w:r>
    </w:p>
    <w:p>
      <w:pPr>
        <w:ind w:left="340" w:right="480" w:hanging="238"/>
        <w:spacing w:after="0" w:line="260" w:lineRule="auto"/>
        <w:tabs>
          <w:tab w:leader="none" w:pos="340" w:val="left"/>
        </w:tabs>
        <w:numPr>
          <w:ilvl w:val="0"/>
          <w:numId w:val="9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expected sales volumes and net sales price per unit, estimated based on market information on annual incidence rates and information for similar products and expected market penetration.</w:t>
      </w:r>
    </w:p>
    <w:p>
      <w:pPr>
        <w:spacing w:after="0" w:line="181"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See Note 21.3 to our unaudited consolidated financial statements appearing elsewhere in this annual report for more information on contingent consideration in relation to the acquisition of QSAM, for which the components acquired were treated as an asset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and Plan of Merger with QSAM Biosciences, Inc.</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February 7, 2024, we entered into the QSAM Agreement, and we completed the acquisition on May 3, 2024. Pursuant to the QSAM Agreement, we paid an upfront purchase price of US$33.1 million, of which we paid US$27.8 million in closing consideration through the issuance of 3,671,120 ordinary shares and the balance of which was paid in certain cash adjustments or through the issuance of approximately 409,026 of our ordinary shares in change of control fees. We also granted contingent value rights, which represent the right to receive contingent payments of up to US$90.0 million in the aggregate, in cash and/or ordinary shares, without interest, upon the achievement of certain regulatory and commercial milestones, at the times and subject to the terms and conditions of the contingent value rights agreement.</w:t>
      </w:r>
    </w:p>
    <w:p>
      <w:pPr>
        <w:sectPr>
          <w:pgSz w:w="11900" w:h="16838" w:orient="portrait"/>
          <w:cols w:equalWidth="0" w:num="1">
            <w:col w:w="11240"/>
          </w:cols>
          <w:pgMar w:left="320" w:top="116" w:right="33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and Plan of Merger with IsoTherapeutics Group, LLC</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On February 27, 2024, we entered into the IsoTherapeutics Agreement. We completed the acquisition of IsoTherapeutics on April 9, 2024. We are obligated to pay an additional US$5.0 million in performance-related milestone payments, which are payable in cash, subject to meeting certain milestone conditions within 12 months of closing. We also agreed to a two-year revenue share that is based on actual revenue earned from existing customers of IsoTherapeutics, which we estimate will require total cash payments of approximately US$0.6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Purchase Agreement with ARTMS Inc.</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On March 5, 2024, we entered into the ARTMS Agreement. We completed the acquisition of ARTMS on April 11, 2024. We are obligated to pay an additional US$24.5 million in future earn out payments, payable in cash, following achievement of certain regulatory and commercial milestones. We also agreed to pay cash earnouts representing low teens percentage royalties based on net sales of ARTMS products and related services and representing low single-digit percentage royalties based on net sales of Telix products prepared using ARTMS products for up to three years depending on the product location where the sale occurs. All earn-out royalties which have not otherwise expired will terminate on the 10-year anniversary following closing of the ARTMS acquisition.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Lightpoint Medical Share Sale Agreement</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June 21, 2023, we entered into a share sale agreement with Lightpoint to acquire Lightpoint’s SENSEI radio-guided surgery business. The acquisition is intended to support and expand our late-stage urologic cancer pipeline. We completed the acquisition of Lightpoint’s SENSEI radio-guided surgery business on November 1, 2023. The acquisition was implemented through the purchase of Lightpoint Medical Limited’s wholly owned subsidiary, Lightpoint Surgical Limited, as the then owner of Lightpoint’s business, assets and operation. We paid upfront consideration of US$20.0 million, of which we paid US$19.6 million through the issuance of 3,298,073 ordinary shares at a price of A$9.3659 per share. We are obligated to pay an additional US$15.0 million via an earn-out in the form of performance rights, which may be settled in cash or ordinary shares, at our option, upon achievement of specified milestones relating to the ongoing development and commercialization of SENSEI.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Bonds</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On July 30, 2024, we issued the Convertible Bonds in aggregate principal amount of A$650.0 million. The Convertible Bonds were constituted by a trust deed, dated as of July 30, 2024, between us and The Hongkong and Shanghai Banking Corporation Limited, as trustee.</w:t>
      </w:r>
    </w:p>
    <w:p>
      <w:pPr>
        <w:spacing w:after="0" w:line="1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Convertible Bonds bear interest at a rate of 2.375% per annum, payable quarterly in arrear in equal installments on January 30, April 30, July 30 and October 30 of each year, beginning on October 30, 2024. The maturity date of the Convertible Bonds is July 30, 2029. The Convertible Bonds are convertible at the option of the bondholders, at any time on or after September 9, 2024, into ordinary shares at an initial conversion price of A$24.7775 per ordinary share, subject to certain adjustments. The number of ordinary shares issuable upon conversion is determined by dividing the principal amount of the Convertible Bonds to be converted by the conversion price.</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any time on or after August 13, 2027, we have the right to redeem all of the Convertible Bonds at their principal amount, together with any accrued but unpaid interest, if (i) the closing price of our ordinary shares on the ASX exceeds 130% of the then-applicable conversion price for at least 20 trading days, whether consecutive or not, during any consecutive 30 trading day period or (ii) conversion rights have been exercised in respect of 85% or more in principal amount of the Convertible Bonds.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may be required to redeem the Convertible Bonds prior to the maturity date in certain circumstances. Following the occurrence of the delisting of our ordinary shares on the ASX or a change of control, each bondholder will have the right to require us to redeem all or some of such bondholder’s Convertible Bonds at their principal amount, together with any accrued but unpaid interest. We are also required under the trust deed to redeem the Convertible Bonds on July 30, 2027 at the option of each holder, at their principal amount together with accrued but unpaid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During the periods presented, we did not, and we do not currently, engage in off-balance sheet financing arrangements as defined under SEC rules, such as relationships with other entities or financial partnerships, which are often referred to as structured finance or special purpose entities, established for the purpose of facilitating financing transactions that are not required to be reflected on our consolidated statement of financial position. In addition, we do not engage in trading activities involving non-exchange traded contracts.</w:t>
      </w:r>
    </w:p>
    <w:p>
      <w:pPr>
        <w:spacing w:after="0" w:line="185" w:lineRule="exact"/>
        <w:rPr>
          <w:sz w:val="20"/>
          <w:szCs w:val="20"/>
          <w:color w:val="auto"/>
        </w:rPr>
      </w:pPr>
    </w:p>
    <w:p>
      <w:pPr>
        <w:ind w:left="400" w:hanging="392"/>
        <w:spacing w:after="0"/>
        <w:tabs>
          <w:tab w:leader="none" w:pos="40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a discussion of our research and development activities, see “— A. Operating Results” and “Item 4. Information on the Company — B. Business Overview.”</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400" w:hanging="392"/>
        <w:spacing w:after="0"/>
        <w:tabs>
          <w:tab w:leader="none" w:pos="40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growth strategy and trends affecting our performance are detailed in “— A. Operating Results” and “Item 4. Information on the Company — B. Business Overview.” For a discussion of uncertainties and certain factors that could materially affect our business, see “Item 3. Key Information — D. Risk Factors.”</w:t>
      </w:r>
    </w:p>
    <w:p>
      <w:pPr>
        <w:spacing w:after="0" w:line="172" w:lineRule="exact"/>
        <w:rPr>
          <w:sz w:val="20"/>
          <w:szCs w:val="20"/>
          <w:color w:val="auto"/>
        </w:rPr>
      </w:pPr>
    </w:p>
    <w:p>
      <w:pPr>
        <w:ind w:left="400" w:hanging="392"/>
        <w:spacing w:after="0"/>
        <w:tabs>
          <w:tab w:leader="none" w:pos="40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audited consolidated financial statements appearing elsewhere in this annual report for a description of our other significant accounting policies and Note 2.28 to our audited consolidated financial statements appearing elsewhere in this annual report for additional information on our key judgments and estimates. The preparation of our consolidated financial statements in conformity with IFRS Accounting Standards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R&amp;D expenses. This process involves reviewing open contracts and purchase orders, communicating with program directors and managers to identify services that have already been performed for us, estimating the level of services performed with associated costs incurred for the service for which we have not yet been invoiced or otherwise notified of the actual cost. The majority of service providers invoice us monthly in arrears for services performed or when contractual milestones are met. We estimate accrued expenses as of each reporting date based on facts and circumstances known at that time. We periodically confirm the accuracy of estimates with the service providers and make adjustments if necessary. Examples of estimated accrued expenses include fees paid to CROs in connection with clinical studies investigative sites in connection with clinical studies, vendors in connection with preclinical development activities, and vendors related to product manufacturing, process development and distribution of clinical supplies.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Goodwill and intangible assets that have an indefinite useful life are not subject to amortization and are tested annually for impairment, or more frequently if events or changes in circumstances indicate that they might be impaired. Other assets are tested for impairment whenever events or changes in circumstances indicate that the carrying amount may not be recoverable. An impairment trigger assessment is performed annually.</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identified the estimate of the recoverable amount of intangible assets as a significant judgment for the year ended December 31, 2024. In determining the recoverable amount of intangible assets, we have used discounted cash flow forecasts and key assumptions on risk adjusted post-tax discount rates, regulatory/marketing authorization approval dates, expected sales volumes, sales price per unit, and the probability of approval for marketing authorization. We have considered reasonable possible changes in the key assumptions and have not identified any instances that could cause the carrying amounts of the intangible assets as of December 31, 2022 and 2023 to exceed their recoverable amounts. As of December 31, 2024, we have not identified any instances that could cause the carrying amounts of intangibles to exceed their recoverable amounts.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contingent consideration liabilities associated with business combinations are measured at fair value which has been calculated with reference to our judgment of the expected probability and timing of the potential future milestone payments or with reference to percentage of net sales achieved, based upon level 3 inputs under the fair value hierarchy, which is then discounted to a present value using appropriate discount rates with reference to our weighted average cost of capital.</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Contingent consideration in connection with the purchase of individual assets outside of business combinations is recognized as a financial liability only when a non-contingent obligation arises (i.e., when the milestone is met).</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valuation of the contingent consideration has been performed using a discounted cash flow model that uses certain unobservable assumptions. Significant changes in any of the assumptions would result in a significantly lower or higher fair value measurement. A change in the most significant input, such as sales volumes, by an increase/(decrease) of 10% while holding all other variables constant would increase/(decrease) our profit before tax for the fiscal year ended December 31, 2024 by A$3.0 million. See Note 27 to our audited consolidated financial statements appearing elsewhere in this annual report for more information on the impact of sensitivities from reasonably possible changes in these assumptions where applicable and Note 32.6 to our audited consolidated financial statements appearing elsewhere in this annual report for more information on our valuation processes. A summary of the assumptions we use in the valuation of contingent consideration liabilities is as follows:</w:t>
      </w:r>
    </w:p>
    <w:p>
      <w:pPr>
        <w:spacing w:after="0" w:line="189" w:lineRule="exact"/>
        <w:rPr>
          <w:sz w:val="20"/>
          <w:szCs w:val="20"/>
          <w:color w:val="auto"/>
        </w:rPr>
      </w:pPr>
    </w:p>
    <w:p>
      <w:pPr>
        <w:ind w:left="340" w:right="400" w:hanging="238"/>
        <w:spacing w:after="0" w:line="261" w:lineRule="auto"/>
        <w:tabs>
          <w:tab w:leader="none" w:pos="340" w:val="left"/>
        </w:tabs>
        <w:numPr>
          <w:ilvl w:val="0"/>
          <w:numId w:val="10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post-tax discount rate, as determined by an independent third party based on required rates of returns of listed companies in the biotechnology industry (taking into account their stage of development, size and risk adjustments);</w:t>
      </w:r>
    </w:p>
    <w:p>
      <w:pPr>
        <w:ind w:left="340" w:right="640" w:hanging="238"/>
        <w:spacing w:after="0" w:line="250" w:lineRule="auto"/>
        <w:tabs>
          <w:tab w:leader="none" w:pos="340" w:val="left"/>
        </w:tabs>
        <w:numPr>
          <w:ilvl w:val="0"/>
          <w:numId w:val="10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regulatory/marketing authorization approval dates and approval for marketing authorization probability success factors, as determined through benchmarking of historic approval rates and derived in consultation with our regulatory team; and</w:t>
      </w:r>
    </w:p>
    <w:p>
      <w:pPr>
        <w:ind w:left="340" w:right="480" w:hanging="238"/>
        <w:spacing w:after="0" w:line="260" w:lineRule="auto"/>
        <w:tabs>
          <w:tab w:leader="none" w:pos="340" w:val="left"/>
        </w:tabs>
        <w:numPr>
          <w:ilvl w:val="0"/>
          <w:numId w:val="10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expected sales volumes and net sales price per unit, estimated based on market information on annual incidence rates and information for similar products and expected market penetration.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Decommissioning Liabilities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purchased a radiopharmaceutical production facility in Belgium on April 27, 2020. At the time of purchase, the facility had two cyclotrons installed in concrete shielded vaults which also contained some nuclear contamination associated with past manufacturing activities. As part of this purchase, we assumed an obligation to remove the cyclotrons and restore the site. We removed the cyclotrons from the site during 2022. Other decommissioning activities not required to upgrade the production facility have been deferred to the end of the operating life of the facility in 2041.</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recognized a provision for our obligation to decommission the radiopharmaceutical production facility at the end of its operating life. At the end of the operating life of a facility, we incur costs to remove certain assets involved in the production of radioactive isotopes. For each period presented, the decommissioning costs that we expect to incur have been discounted using the Belgium risk-free rate and translated to Australian dollars at the exchange rate as of the date of the consolidated statement of financial position. The provisions recognized in the periods presented represent the best estimates of the expenditures required to settle the present obligation as of December 31, 2024, 2023 and 2022.</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While we believe that we have made our best estimate in establishing the decommissioning liability, because of potential changes in technology as well as safety and environmental requirements, plus the actual timescale to complete decommissioning, the ultimate provision requirements could vary from our current estimates. Any subsequent changes in estimate which alter the level of the provision required are also reflected in adjustments to the plant and equipment asset. Each year, the provision is increased to reflect the unwind of discount and to accrue an estimate for the effects of inflation, with the charges being presented in the consolidated statement of comprehensive income or loss. Actual payments for commencement of decommissioning activity are disclosed as provision utilized.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Sales of Goods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Sales are recognized at a point-in-time when control of the products has transferred, being when the products are administered to the patient. Revenue from sales is recognized based on the price specified in the contract, net of the estimated volume discounts and government rebates.</w:t>
      </w:r>
    </w:p>
    <w:p>
      <w:pPr>
        <w:spacing w:after="0" w:line="16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Accumulated experience is used to estimate and provide for discounts, using the expected value method, and revenue is recognized to the extent that it is highly probable that a significant reversal will not occur. No element of financing is deemed present as the sales are made with credit terms ranging from 30 to 45 days, which is consistent with market practice.</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Where distributors are used to facilitate the supply of a product, a distribution fee is charged. This fee represents a cost of satisfying the performance obligation to the customer and expensed within “Cost of sales” in the consolidated statement of comprehensive income or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Transactions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provide benefits to our directors and employees (including key management personnel) in the form of share-based payments, whereby employees render services in exchange for ordinary shares, options or performance rights over ordinary shares (equity-settled transactions). The cost of these equity-settled transactions with employees is measured by reference to the fair value at the date at which they are granted. The Black-Scholes option pricing model is used to determine fair value, with key assumptions being the listed price per ordinary share on the grant date, the option exercise price, the term of the option, the impact of dilution, expected volatility of the underlying ordinary shares based on the historical share price volatility, the expected dividend yield and the risk-free interest rate.</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cost of the equity-settled transactions is recognized, together with a corresponding increase in equity, over the period in which the performance conditions are fulfilled (the vesting period), ending on the date on which the relevant employees become fully entitled to the award (the vesting date). The charge to profit or loss for the period is the cumulative amount less the amounts already charged in previous periods. There is a corresponding credit to equity. Until an award has vested, any amounts recorded are contingent and will be adjusted if more or fewer awards vest than were originally anticipated to do so. If an award is cancelled, it is treated as if it has vested on the date of cancellation, and any remaining expense is recognized immediately.</w:t>
      </w:r>
    </w:p>
    <w:p>
      <w:pPr>
        <w:sectPr>
          <w:pgSz w:w="11900" w:h="16838" w:orient="portrait"/>
          <w:cols w:equalWidth="0" w:num="1">
            <w:col w:w="11240"/>
          </w:cols>
          <w:pgMar w:left="320" w:top="116" w:right="339" w:bottom="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0" w:gutter="0" w:footer="0" w:header="0"/>
          <w:type w:val="continuous"/>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ind w:left="400" w:hanging="392"/>
        <w:spacing w:after="0"/>
        <w:tabs>
          <w:tab w:leader="none" w:pos="40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following discussion sets forth information regarding our directors and executive officers as of the date of this annual report on Form 20-F. The following table lists the names of our directors and executive officers. The business address for our directors and executive officers is c/o 55 Flemington Road, North Melbourne, Victoria 3051, Australia.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2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tc>
        <w:tc>
          <w:tcPr>
            <w:tcW w:w="1120" w:type="dxa"/>
            <w:vAlign w:val="bottom"/>
            <w:tcBorders>
              <w:top w:val="single" w:sz="8" w:color="auto"/>
            </w:tcBorders>
          </w:tcPr>
          <w:p>
            <w:pPr>
              <w:spacing w:after="0"/>
              <w:rPr>
                <w:sz w:val="18"/>
                <w:szCs w:val="18"/>
                <w:color w:val="auto"/>
              </w:rPr>
            </w:pPr>
          </w:p>
        </w:tc>
        <w:tc>
          <w:tcPr>
            <w:tcW w:w="80" w:type="dxa"/>
            <w:vAlign w:val="bottom"/>
          </w:tcPr>
          <w:p>
            <w:pPr>
              <w:jc w:val="right"/>
              <w:ind w:right="18"/>
              <w:spacing w:after="0"/>
              <w:rPr>
                <w:sz w:val="20"/>
                <w:szCs w:val="20"/>
                <w:color w:val="auto"/>
              </w:rPr>
            </w:pPr>
            <w:r>
              <w:rPr>
                <w:rFonts w:ascii="Times New Roman" w:cs="Times New Roman" w:eastAsia="Times New Roman" w:hAnsi="Times New Roman"/>
                <w:sz w:val="4"/>
                <w:szCs w:val="4"/>
                <w:color w:val="auto"/>
                <w:w w:val="97"/>
              </w:rPr>
              <w:t> </w:t>
            </w: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780" w:type="dxa"/>
            <w:vAlign w:val="bottom"/>
            <w:tcBorders>
              <w:top w:val="single" w:sz="8" w:color="auto"/>
            </w:tcBorders>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 Kevin McCann</w:t>
            </w:r>
          </w:p>
        </w:tc>
        <w:tc>
          <w:tcPr>
            <w:tcW w:w="1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84</w:t>
            </w: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Independent Non-Executive Director and Chairman</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Mark Nelson</w:t>
            </w:r>
          </w:p>
        </w:tc>
        <w:tc>
          <w:tcPr>
            <w:tcW w:w="17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65</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Independent Non-Executive Director</w:t>
            </w:r>
          </w:p>
        </w:tc>
        <w:tc>
          <w:tcPr>
            <w:tcW w:w="364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Tiffany Olson</w:t>
            </w:r>
          </w:p>
        </w:tc>
        <w:tc>
          <w:tcPr>
            <w:tcW w:w="1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65</w:t>
            </w: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Independent Non-Executive Director</w:t>
            </w:r>
          </w:p>
        </w:tc>
        <w:tc>
          <w:tcPr>
            <w:tcW w:w="364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Jann Skinner</w:t>
            </w:r>
          </w:p>
        </w:tc>
        <w:tc>
          <w:tcPr>
            <w:tcW w:w="17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67</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Independent Non-Executive Director</w:t>
            </w:r>
          </w:p>
        </w:tc>
        <w:tc>
          <w:tcPr>
            <w:tcW w:w="364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7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4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Christian Behrenbruch</w:t>
            </w:r>
          </w:p>
        </w:tc>
        <w:tc>
          <w:tcPr>
            <w:tcW w:w="17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50</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Managing Director and Group CEO</w:t>
            </w:r>
          </w:p>
        </w:tc>
        <w:tc>
          <w:tcPr>
            <w:tcW w:w="364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Darren Patti</w:t>
            </w:r>
          </w:p>
        </w:tc>
        <w:tc>
          <w:tcPr>
            <w:tcW w:w="1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53</w:t>
            </w: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Group Chief Operating Officer</w:t>
            </w:r>
          </w:p>
        </w:tc>
        <w:tc>
          <w:tcPr>
            <w:tcW w:w="364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Darren Smith</w:t>
            </w:r>
          </w:p>
        </w:tc>
        <w:tc>
          <w:tcPr>
            <w:tcW w:w="17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59</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Group Chief Financial Officer</w:t>
            </w:r>
          </w:p>
        </w:tc>
        <w:tc>
          <w:tcPr>
            <w:tcW w:w="364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Cade</w:t>
            </w:r>
          </w:p>
        </w:tc>
        <w:tc>
          <w:tcPr>
            <w:tcW w:w="1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56</w:t>
            </w: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Group Chief Medical Officer</w:t>
            </w:r>
          </w:p>
        </w:tc>
        <w:tc>
          <w:tcPr>
            <w:tcW w:w="36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responsibilities of our board of directors are described in our Board Charter and Constitution, each of which are filed as exhibits to this annual report on Form 20-F. Our executive officers are responsible for making and executing decisions that build value in accordance with board-approved delegated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the biographical information of our directors and executive officers:</w:t>
      </w:r>
    </w:p>
    <w:p>
      <w:pPr>
        <w:spacing w:after="0" w:line="2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H. Kevin McCann </w:t>
      </w:r>
      <w:r>
        <w:rPr>
          <w:rFonts w:ascii="Times New Roman" w:cs="Times New Roman" w:eastAsia="Times New Roman" w:hAnsi="Times New Roman"/>
          <w:sz w:val="18"/>
          <w:szCs w:val="18"/>
          <w:color w:val="auto"/>
        </w:rPr>
        <w:t>has served as a Non-Executive Director and Chairman of our board of directors since September 2017. Previously, Mr. McCann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Chairman of Macquarie Group and Macquarie Bank Limited from December 1996 to March 2016, Chairman of Origin Energy Limited from January 2000 to October 2013, Chairman of the Sydney Harbour Federation Trust from June 2001 to June 2010 and from June 2015 to June 2018, Director of Bluescope Steel Ltd from May 2002 to April 2013, Director of E&amp;P Financial Group Ltd from February 2020 to November 2021 and Chairman of China Matters from November 2018 to December 2023. He was also a Director of the United States Studies Centre at the University of Sydney from June 2010 to June 2020 and was a Trustee of the Sydney Opera House from January 2018 to December 2023. He has served as a Member of Champions of Change Founding Group since April 2010, Chairman of Sydney Harbour Foundation Management since August 2015, Director of Australian Haydn Ensemble since December 2020, Chair and Board Advisor of Blueprint Institute since June 2022 and Director of Billard Leece Partnership Pty Limited since October 2024. Mr. McCann practiced as a commercial lawyer as a partner of Allens Arthur Robinson (now Allens) from 1970 to 2004 and was Chairman of Partners from 1995 to 2004. Mr. McCann received a Bachelor of Arts and a Bachelor of Law (Honors) from Sydney University and a Master of Law from Harvard University and was awarded an honorary Doctor of Laws from the University of Sydney. He is a Life Fellow of the Australian Institute of Company Directors. We believe that Mr. McCann’s extensive Board experience with some of Australia’s most recognized companies qualifies him to serve on our board of directors.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Christian Behrenbruch </w:t>
      </w:r>
      <w:r>
        <w:rPr>
          <w:rFonts w:ascii="Times New Roman" w:cs="Times New Roman" w:eastAsia="Times New Roman" w:hAnsi="Times New Roman"/>
          <w:sz w:val="18"/>
          <w:szCs w:val="18"/>
          <w:color w:val="auto"/>
        </w:rPr>
        <w:t>is one of our Co-Founders, has served as Group Chief Executive Officer since January 2017 and joined our board of directors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Director in January 2017. He has previously served as Chief Executive Officer at Mirada Solutions from July 2001 to December 2002, President at CTI Molecular Imaging (now Siemens Healthcare) from August 2003 to September 2006, Chief Executive Officer at Fibron Technologies, Inc. from June 2008 to December 2011 and Chief Executive Officer at ImaginAb, Inc from October 2007 to February 2015. He served as a Director at Siemens Molecular Imaging Ltd from May 2005 to September 2006, Momentum Biosciences LLC from July 2007 to June 2009, Radius Health Ltd (now Adaptix Ltd) from May 2009 to February 2011, Factor Therapeutics Limited from October 2015 to May 2021 and Amplia Therapeutics Limited from May 2016 to February 2020, and he was the Chairman of Cell Therapies Pty Ltd (a partnership with the Peter MacCallum Cancer Centre) from October 2012 to July 2014. Dr. Behrenbruch holds a Doctor of Philosophy (PhD) in biomedical engineering from the University of Oxford, an executive Master of Business Administration (MBA) jointly awarded from New York University, HEC Paris and the London School of Economics (TRIUM Program) and a Juris Doctor from the University of Melbourne. Dr. Behrenbruch is a Fellow of Engineers Australia in the management and biomedical colleges and a Graduate of the Australian Institute of Company Directors. We believe Dr. Behrenbruch’s expertise and over 20 years of experience in healthcare entrepreneurship and executive leadership qualify him to serve on our board of directors.</w:t>
      </w:r>
    </w:p>
    <w:p>
      <w:pPr>
        <w:spacing w:after="0" w:line="1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Nelson </w:t>
      </w:r>
      <w:r>
        <w:rPr>
          <w:rFonts w:ascii="Times New Roman" w:cs="Times New Roman" w:eastAsia="Times New Roman" w:hAnsi="Times New Roman"/>
          <w:sz w:val="18"/>
          <w:szCs w:val="18"/>
          <w:color w:val="auto"/>
        </w:rPr>
        <w:t>has served as a Non-Executive Director since September 2017. Dr. Nelson has served as Chairman of the Caledonia Investments Group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2012, and as a Director of The Caledonia Foundation since August 2002. He previously served as Chief Executive Officer and Co-Chief Investment Officer of the Caledonia Investments Group from February 1992 to January 2012. He has also served as Director of Kaldor Public Art Projects since October 2005, Governor of the Florey Neurosciences Institute since October 2007, Director of the Mindgardens Neuroscience Network since February 2018 and Chairman of Art Exhibitions Australia since 2019. Dr. Nelson received his B.Sc. from the University of Melbourne, his M.Phil from the University of Cambridge and his Ph.D. from the University of Melbourne. We believe Dr. Nelson’s qualifications and experience in capital, equity and investment markets, including in the life sciences industry, qualify him to serve on our board of directors.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Tiffany Olson </w:t>
      </w:r>
      <w:r>
        <w:rPr>
          <w:rFonts w:ascii="Times New Roman" w:cs="Times New Roman" w:eastAsia="Times New Roman" w:hAnsi="Times New Roman"/>
          <w:sz w:val="18"/>
          <w:szCs w:val="18"/>
          <w:color w:val="auto"/>
        </w:rPr>
        <w:t>has served as Non-Executive Director since March 2022. She previously served as President and CEO of Roche Diagnostics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June 2005 to May 2008, Vice President, Diagnostics, at Eli Lilly and Company Ltd from November 2009 to July 2011, President of NaviMed from August 2011 to July 2013 and President of Cardinal Health Nuclear &amp; Precision Health Solutions from July 2013 to October 2021. Ms. Olson has served as a Director of Castle Biosciences, Inc. since April 2021, Advisory Board Member of Langham Logistics since August 2021, Director of Education and Research Foundation, Nuclear Medicine &amp; Molecular Imaging since April 2022, Partner of Trusted Health Advisors since August 2023 and Director of MiMedx Group, Inc. since March 2024. She was previously a Director at Asuragen, Inc. from August 2016 to March 2021 and BioTelemetry, Inc. from February 2019 to February 2021. Ms. Olson received her Master of Business Administration (MBA) at the University of St. Thomas in Minnesota and her Bachelor of Science in Business (BSB) at the University of Minnesota. We believe Ms. Olson’s experience in commercialization and corporate strategy in oncology, including in the radiopharmaceutical sector, qualify her to serve on our board of directors.</w:t>
      </w:r>
    </w:p>
    <w:p>
      <w:pPr>
        <w:spacing w:after="0" w:line="18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Jann Skinner </w:t>
      </w:r>
      <w:r>
        <w:rPr>
          <w:rFonts w:ascii="Times New Roman" w:cs="Times New Roman" w:eastAsia="Times New Roman" w:hAnsi="Times New Roman"/>
          <w:sz w:val="18"/>
          <w:szCs w:val="18"/>
          <w:color w:val="auto"/>
        </w:rPr>
        <w:t>has served as a Non-Executive Director since June 2018. Ms. Skinner was a partner at PricewaterhouseCoopers from 1987 to 2004. She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Director of Create Foundation Limited since June 2004. She also served as Non-Executive Director of QBE Insurance Group Limited from October 2014 to May 2024 and Director of HSBC Bank Australia Limited from April 2017 to April 2023. Ms. Skinner is a Fellow of both Chartered Accountants Australia &amp; New Zealand and the Australian Institute of Company Directors. She received her Bachelor of Commerce (BCom) from the University of New South Wales. We believe Ms. Skinner’s expertise in audit and accounting and prior board experience qualify her to serve on our board of directors.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Darren Patti </w:t>
      </w:r>
      <w:r>
        <w:rPr>
          <w:rFonts w:ascii="Times New Roman" w:cs="Times New Roman" w:eastAsia="Times New Roman" w:hAnsi="Times New Roman"/>
          <w:sz w:val="18"/>
          <w:szCs w:val="18"/>
          <w:color w:val="auto"/>
        </w:rPr>
        <w:t>was appointed as our Group Chief Operating Officer in March 2024. Prior to transitioning to this role, he was the Chief Operating Officer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Manager of our Americas operations from March 2021 to March 2024. Previously, he served as Vice President of Operations at Sofie Biosciences Inc. from November 2019 to March 2021, and, preceding this role, he served in numerous other leadership capacities over his 15 year tenure at Sofie, including managing high capacity PET manufacturing facilities and directing regional operations over multiple PET manufacturing locations. Prior to joining Sofie, he worked in brachytherapy manufacturing with a small startup which was eventually acquired by CR Bard. He has over 20 years of experience in radiopharmaceutical and device manufacturing with expertise in network management and operations, including new radiopharmaceutical manufacturing, implementation and compliance. Dr. Patti holds a Doctor of Pharmacy (Pharm.D.) from the University of Illinois at Chicago and a Bachelor of Arts from Southern Illinois University at Carbondale. He is also an Authorized Nuclear Pharmacist and is a licensed pharmacist in multiple states within the United States.</w:t>
      </w:r>
    </w:p>
    <w:p>
      <w:pPr>
        <w:spacing w:after="0" w:line="18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Darren Smith </w:t>
      </w:r>
      <w:r>
        <w:rPr>
          <w:rFonts w:ascii="Times New Roman" w:cs="Times New Roman" w:eastAsia="Times New Roman" w:hAnsi="Times New Roman"/>
          <w:sz w:val="18"/>
          <w:szCs w:val="18"/>
          <w:color w:val="auto"/>
        </w:rPr>
        <w:t>has served as our Group Chief Financial Officer since August 2022. Previously, he was Global Chief Financial Officer and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Secretary at Sirtex Medical Ltd from June 2008 to March 2019, and Chief Financial Officer of Waverley Council from April 2019 to August 2021. Mr. Smith has over 20 years of experience in executive finance and general management experience across a broad range of industries, including life-sciences, for publicly listed, private, international, and Australian government organizations. Mr. Smith holds a Master of Business Administration (MBA) from the University of New South Wales in Australia and a Bachelor of Business (Accounting) from Western Sydney University. He has been a Fellow Certified Practicing Accountant for 20 years.</w:t>
      </w:r>
    </w:p>
    <w:p>
      <w:pPr>
        <w:spacing w:after="0" w:line="1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Cade </w:t>
      </w:r>
      <w:r>
        <w:rPr>
          <w:rFonts w:ascii="Times New Roman" w:cs="Times New Roman" w:eastAsia="Times New Roman" w:hAnsi="Times New Roman"/>
          <w:sz w:val="18"/>
          <w:szCs w:val="18"/>
          <w:color w:val="auto"/>
        </w:rPr>
        <w:t>has served as our Group Chief Medical Officer since January 2024. Prior to transitioning to this role, he was the Chief Executive Officer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Asia Pacific operations from May 2021 to December 2023 and our Chief Business Officer and Head of Investor Relations from October 2019 to April 2021. Previously, he served as Chief Medical Officer at Sirtex Medical Limited from January 2007 to September 2017 and Chief Medical Officer at Cochlear Limited from October 2017 to September 2019. He received a Bachelor of Medicine and Bachelor of Surgery (MBBS) from Monash Medical School and a Master of Business Administration (MBA) from Melbourne Business School and ESADE Business and Law School Barcelona. He is also a Graduate of the Australian Institute of Company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and our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for Election of Directors and Members of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contracts or other arrangements pursuant to which Directors have been or must be selected.</w:t>
      </w:r>
    </w:p>
    <w:p>
      <w:pPr>
        <w:spacing w:after="0" w:line="221" w:lineRule="exact"/>
        <w:rPr>
          <w:sz w:val="20"/>
          <w:szCs w:val="20"/>
          <w:color w:val="auto"/>
        </w:rPr>
      </w:pPr>
    </w:p>
    <w:p>
      <w:pPr>
        <w:ind w:left="400" w:hanging="392"/>
        <w:spacing w:after="0"/>
        <w:tabs>
          <w:tab w:leader="none" w:pos="40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Principles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remuneration principles are designed to:</w:t>
      </w:r>
    </w:p>
    <w:p>
      <w:pPr>
        <w:spacing w:after="0" w:line="225" w:lineRule="exact"/>
        <w:rPr>
          <w:sz w:val="20"/>
          <w:szCs w:val="20"/>
          <w:color w:val="auto"/>
        </w:rPr>
      </w:pPr>
    </w:p>
    <w:p>
      <w:pPr>
        <w:ind w:left="340" w:hanging="238"/>
        <w:spacing w:after="0"/>
        <w:tabs>
          <w:tab w:leader="none" w:pos="340" w:val="left"/>
        </w:tabs>
        <w:numPr>
          <w:ilvl w:val="0"/>
          <w:numId w:val="10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attract, motivate and retain talent in our operating markets;</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10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reward corporate performance and execution of our strategy;</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10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align the interests of employees with shareholders;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105"/>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be simple and transparent.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Governance Framework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governance of our remuneration framework ensures that:</w:t>
      </w:r>
    </w:p>
    <w:p>
      <w:pPr>
        <w:spacing w:after="0" w:line="225" w:lineRule="exact"/>
        <w:rPr>
          <w:sz w:val="20"/>
          <w:szCs w:val="20"/>
          <w:color w:val="auto"/>
        </w:rPr>
      </w:pPr>
    </w:p>
    <w:p>
      <w:pPr>
        <w:ind w:left="340" w:right="40" w:hanging="238"/>
        <w:spacing w:after="0" w:line="261" w:lineRule="auto"/>
        <w:tabs>
          <w:tab w:leader="none" w:pos="340" w:val="left"/>
        </w:tabs>
        <w:numPr>
          <w:ilvl w:val="0"/>
          <w:numId w:val="10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our board of directors delegates specific responsibilities to the People, Culture, Nomination and Remuneration Committee, or PCNRC, which provides applicable recommendations to the board of directors;</w:t>
      </w:r>
    </w:p>
    <w:p>
      <w:pPr>
        <w:ind w:left="340" w:hanging="238"/>
        <w:spacing w:after="0"/>
        <w:tabs>
          <w:tab w:leader="none" w:pos="340" w:val="left"/>
        </w:tabs>
        <w:numPr>
          <w:ilvl w:val="0"/>
          <w:numId w:val="10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Telix’s strategic objectives, corporate governance principles, market practice and stakeholder interests are considered; and</w:t>
      </w:r>
    </w:p>
    <w:p>
      <w:pPr>
        <w:spacing w:after="0" w:line="9" w:lineRule="exact"/>
        <w:rPr>
          <w:rFonts w:ascii="Times New Roman" w:cs="Times New Roman" w:eastAsia="Times New Roman" w:hAnsi="Times New Roman"/>
          <w:sz w:val="18"/>
          <w:szCs w:val="18"/>
          <w:color w:val="0A2E94"/>
        </w:rPr>
      </w:pPr>
    </w:p>
    <w:p>
      <w:pPr>
        <w:ind w:left="340" w:right="100" w:hanging="238"/>
        <w:spacing w:after="0" w:line="260" w:lineRule="auto"/>
        <w:tabs>
          <w:tab w:leader="none" w:pos="340" w:val="left"/>
        </w:tabs>
        <w:numPr>
          <w:ilvl w:val="0"/>
          <w:numId w:val="10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achievement of pre-determined financial results and strategic objectives is rewarded through sustainable means for executive officers and the board of directors.</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Roles in the governance framework include:</w:t>
      </w:r>
    </w:p>
    <w:p>
      <w:pPr>
        <w:spacing w:after="0" w:line="225" w:lineRule="exact"/>
        <w:rPr>
          <w:sz w:val="20"/>
          <w:szCs w:val="20"/>
          <w:color w:val="auto"/>
        </w:rPr>
      </w:pPr>
    </w:p>
    <w:p>
      <w:pPr>
        <w:ind w:left="580" w:hanging="572"/>
        <w:spacing w:after="0"/>
        <w:tabs>
          <w:tab w:leader="none" w:pos="5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 overall responsibility for oversight of Telix’ remuneration approach for directors and executive officers;</w:t>
      </w:r>
    </w:p>
    <w:p>
      <w:pPr>
        <w:spacing w:after="0" w:line="27" w:lineRule="exact"/>
        <w:rPr>
          <w:rFonts w:ascii="Times New Roman" w:cs="Times New Roman" w:eastAsia="Times New Roman" w:hAnsi="Times New Roman"/>
          <w:sz w:val="18"/>
          <w:szCs w:val="18"/>
          <w:color w:val="auto"/>
        </w:rPr>
      </w:pPr>
    </w:p>
    <w:p>
      <w:pPr>
        <w:ind w:left="580" w:hanging="572"/>
        <w:spacing w:after="0" w:line="250" w:lineRule="auto"/>
        <w:tabs>
          <w:tab w:leader="none" w:pos="5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PCNRC – assists the board of directors in fulfilling its responsibilities to shareholders and regulators in relation to our people and culture, nomination and remuneration policies and practices;</w:t>
      </w:r>
    </w:p>
    <w:p>
      <w:pPr>
        <w:ind w:left="580" w:hanging="572"/>
        <w:spacing w:after="0" w:line="250" w:lineRule="auto"/>
        <w:tabs>
          <w:tab w:leader="none" w:pos="5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 provides relevant information and analysis required to support effective decision making including for remuneration related considerations;</w:t>
      </w:r>
    </w:p>
    <w:p>
      <w:pPr>
        <w:ind w:left="580" w:hanging="572"/>
        <w:spacing w:after="0"/>
        <w:tabs>
          <w:tab w:leader="none" w:pos="5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Risk Committee - assists the Board with our risk management framework and risk appetite; and</w:t>
      </w:r>
    </w:p>
    <w:p>
      <w:pPr>
        <w:spacing w:after="0" w:line="9" w:lineRule="exact"/>
        <w:rPr>
          <w:rFonts w:ascii="Times New Roman" w:cs="Times New Roman" w:eastAsia="Times New Roman" w:hAnsi="Times New Roman"/>
          <w:sz w:val="18"/>
          <w:szCs w:val="18"/>
          <w:color w:val="auto"/>
        </w:rPr>
      </w:pPr>
    </w:p>
    <w:p>
      <w:pPr>
        <w:ind w:left="580" w:right="100" w:hanging="572"/>
        <w:spacing w:after="0" w:line="260" w:lineRule="auto"/>
        <w:tabs>
          <w:tab w:leader="none" w:pos="5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advisors - may be engaged by the PCNRC to provide information to support effective decision making, an external perspective to assist in analysis with their expertise in remuneration related matters and on occasion, to provide remuneration recommendations.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Remuneration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Remuneration Framework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2024 remuneration framework for executive officers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500" w:type="dxa"/>
            <w:vAlign w:val="bottom"/>
            <w:tcBorders>
              <w:top w:val="single" w:sz="8" w:color="auto"/>
              <w:right w:val="single" w:sz="8" w:color="auto"/>
            </w:tcBorders>
          </w:tcPr>
          <w:p>
            <w:pPr>
              <w:spacing w:after="0"/>
              <w:rPr>
                <w:sz w:val="19"/>
                <w:szCs w:val="19"/>
                <w:color w:val="auto"/>
              </w:rPr>
            </w:pPr>
          </w:p>
        </w:tc>
        <w:tc>
          <w:tcPr>
            <w:tcW w:w="32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Fixed Remuneration (TFR)</w:t>
            </w:r>
          </w:p>
        </w:tc>
        <w:tc>
          <w:tcPr>
            <w:tcW w:w="34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Short Term Variable Remuneration</w:t>
            </w:r>
          </w:p>
        </w:tc>
        <w:tc>
          <w:tcPr>
            <w:tcW w:w="30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Long Term Variable Remuneration</w:t>
            </w:r>
          </w:p>
        </w:tc>
      </w:tr>
      <w:tr>
        <w:trPr>
          <w:trHeight w:val="245"/>
        </w:trPr>
        <w:tc>
          <w:tcPr>
            <w:tcW w:w="1500" w:type="dxa"/>
            <w:vAlign w:val="bottom"/>
            <w:tcBorders>
              <w:bottom w:val="single" w:sz="8" w:color="auto"/>
              <w:right w:val="single" w:sz="8" w:color="auto"/>
            </w:tcBorders>
          </w:tcPr>
          <w:p>
            <w:pPr>
              <w:spacing w:after="0"/>
              <w:rPr>
                <w:sz w:val="21"/>
                <w:szCs w:val="21"/>
                <w:color w:val="auto"/>
              </w:rPr>
            </w:pPr>
          </w:p>
        </w:tc>
        <w:tc>
          <w:tcPr>
            <w:tcW w:w="32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(STVR)</w:t>
            </w:r>
          </w:p>
        </w:tc>
        <w:tc>
          <w:tcPr>
            <w:tcW w:w="3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(LTVR)</w:t>
            </w:r>
          </w:p>
        </w:tc>
      </w:tr>
      <w:tr>
        <w:trPr>
          <w:trHeight w:val="198"/>
        </w:trPr>
        <w:tc>
          <w:tcPr>
            <w:tcW w:w="150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Purpose</w:t>
            </w:r>
          </w:p>
        </w:tc>
        <w:tc>
          <w:tcPr>
            <w:tcW w:w="3280" w:type="dxa"/>
            <w:vAlign w:val="bottom"/>
            <w:tcBorders>
              <w:right w:val="single" w:sz="8" w:color="auto"/>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Attract and retain global talent capable of</w:t>
            </w:r>
          </w:p>
        </w:tc>
        <w:tc>
          <w:tcPr>
            <w:tcW w:w="3460" w:type="dxa"/>
            <w:vAlign w:val="bottom"/>
            <w:tcBorders>
              <w:right w:val="single" w:sz="8" w:color="auto"/>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Reward achievement of our annual corporate</w:t>
            </w:r>
          </w:p>
        </w:tc>
        <w:tc>
          <w:tcPr>
            <w:tcW w:w="30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Reward long-term performance aligned</w:t>
            </w:r>
          </w:p>
        </w:tc>
      </w:tr>
      <w:tr>
        <w:trPr>
          <w:trHeight w:val="216"/>
        </w:trPr>
        <w:tc>
          <w:tcPr>
            <w:tcW w:w="1500" w:type="dxa"/>
            <w:vAlign w:val="bottom"/>
            <w:tcBorders>
              <w:right w:val="single" w:sz="8" w:color="auto"/>
            </w:tcBorders>
            <w:shd w:val="clear" w:color="auto" w:fill="CCEEFF"/>
          </w:tcPr>
          <w:p>
            <w:pPr>
              <w:spacing w:after="0"/>
              <w:rPr>
                <w:sz w:val="18"/>
                <w:szCs w:val="18"/>
                <w:color w:val="auto"/>
              </w:rPr>
            </w:pPr>
          </w:p>
        </w:tc>
        <w:tc>
          <w:tcPr>
            <w:tcW w:w="328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leading and delivering our strategy.</w:t>
            </w:r>
          </w:p>
        </w:tc>
        <w:tc>
          <w:tcPr>
            <w:tcW w:w="34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objectives aligned to the delivery of our</w:t>
            </w:r>
          </w:p>
        </w:tc>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with delivery of strategic objectives,</w:t>
            </w:r>
          </w:p>
        </w:tc>
      </w:tr>
      <w:tr>
        <w:trPr>
          <w:trHeight w:val="216"/>
        </w:trPr>
        <w:tc>
          <w:tcPr>
            <w:tcW w:w="1500" w:type="dxa"/>
            <w:vAlign w:val="bottom"/>
            <w:tcBorders>
              <w:right w:val="single" w:sz="8" w:color="auto"/>
            </w:tcBorders>
            <w:shd w:val="clear" w:color="auto" w:fill="CCEEFF"/>
          </w:tcPr>
          <w:p>
            <w:pPr>
              <w:spacing w:after="0"/>
              <w:rPr>
                <w:sz w:val="18"/>
                <w:szCs w:val="18"/>
                <w:color w:val="auto"/>
              </w:rPr>
            </w:pPr>
          </w:p>
        </w:tc>
        <w:tc>
          <w:tcPr>
            <w:tcW w:w="3280" w:type="dxa"/>
            <w:vAlign w:val="bottom"/>
            <w:tcBorders>
              <w:right w:val="single" w:sz="8" w:color="auto"/>
            </w:tcBorders>
            <w:shd w:val="clear" w:color="auto" w:fill="CCEEFF"/>
          </w:tcPr>
          <w:p>
            <w:pPr>
              <w:spacing w:after="0"/>
              <w:rPr>
                <w:sz w:val="18"/>
                <w:szCs w:val="18"/>
                <w:color w:val="auto"/>
              </w:rPr>
            </w:pPr>
          </w:p>
        </w:tc>
        <w:tc>
          <w:tcPr>
            <w:tcW w:w="34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strategy.</w:t>
            </w:r>
          </w:p>
        </w:tc>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including the potential to ‘over-earn’</w:t>
            </w:r>
          </w:p>
        </w:tc>
      </w:tr>
      <w:tr>
        <w:trPr>
          <w:trHeight w:val="216"/>
        </w:trPr>
        <w:tc>
          <w:tcPr>
            <w:tcW w:w="1500" w:type="dxa"/>
            <w:vAlign w:val="bottom"/>
            <w:tcBorders>
              <w:right w:val="single" w:sz="8" w:color="auto"/>
            </w:tcBorders>
            <w:shd w:val="clear" w:color="auto" w:fill="CCEEFF"/>
          </w:tcPr>
          <w:p>
            <w:pPr>
              <w:spacing w:after="0"/>
              <w:rPr>
                <w:sz w:val="18"/>
                <w:szCs w:val="18"/>
                <w:color w:val="auto"/>
              </w:rPr>
            </w:pPr>
          </w:p>
        </w:tc>
        <w:tc>
          <w:tcPr>
            <w:tcW w:w="3280" w:type="dxa"/>
            <w:vAlign w:val="bottom"/>
            <w:tcBorders>
              <w:right w:val="single" w:sz="8" w:color="auto"/>
            </w:tcBorders>
            <w:shd w:val="clear" w:color="auto" w:fill="CCEEFF"/>
          </w:tcPr>
          <w:p>
            <w:pPr>
              <w:spacing w:after="0"/>
              <w:rPr>
                <w:sz w:val="18"/>
                <w:szCs w:val="18"/>
                <w:color w:val="auto"/>
              </w:rPr>
            </w:pPr>
          </w:p>
        </w:tc>
        <w:tc>
          <w:tcPr>
            <w:tcW w:w="3460" w:type="dxa"/>
            <w:vAlign w:val="bottom"/>
            <w:tcBorders>
              <w:right w:val="single" w:sz="8" w:color="auto"/>
            </w:tcBorders>
            <w:shd w:val="clear" w:color="auto" w:fill="CCEEFF"/>
          </w:tcPr>
          <w:p>
            <w:pPr>
              <w:spacing w:after="0"/>
              <w:rPr>
                <w:sz w:val="18"/>
                <w:szCs w:val="18"/>
                <w:color w:val="auto"/>
              </w:rPr>
            </w:pPr>
          </w:p>
        </w:tc>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where stretch financial targets are</w:t>
            </w:r>
          </w:p>
        </w:tc>
      </w:tr>
      <w:tr>
        <w:trPr>
          <w:trHeight w:val="241"/>
        </w:trPr>
        <w:tc>
          <w:tcPr>
            <w:tcW w:w="1500" w:type="dxa"/>
            <w:vAlign w:val="bottom"/>
            <w:tcBorders>
              <w:bottom w:val="single" w:sz="8" w:color="auto"/>
              <w:right w:val="single" w:sz="8" w:color="auto"/>
            </w:tcBorders>
            <w:shd w:val="clear" w:color="auto" w:fill="CCEEFF"/>
          </w:tcPr>
          <w:p>
            <w:pPr>
              <w:spacing w:after="0"/>
              <w:rPr>
                <w:sz w:val="20"/>
                <w:szCs w:val="20"/>
                <w:color w:val="auto"/>
              </w:rPr>
            </w:pPr>
          </w:p>
        </w:tc>
        <w:tc>
          <w:tcPr>
            <w:tcW w:w="3280" w:type="dxa"/>
            <w:vAlign w:val="bottom"/>
            <w:tcBorders>
              <w:bottom w:val="single" w:sz="8" w:color="auto"/>
              <w:right w:val="single" w:sz="8" w:color="auto"/>
            </w:tcBorders>
            <w:shd w:val="clear" w:color="auto" w:fill="CCEEFF"/>
          </w:tcPr>
          <w:p>
            <w:pPr>
              <w:spacing w:after="0"/>
              <w:rPr>
                <w:sz w:val="20"/>
                <w:szCs w:val="20"/>
                <w:color w:val="auto"/>
              </w:rPr>
            </w:pPr>
          </w:p>
        </w:tc>
        <w:tc>
          <w:tcPr>
            <w:tcW w:w="3460" w:type="dxa"/>
            <w:vAlign w:val="bottom"/>
            <w:tcBorders>
              <w:bottom w:val="single" w:sz="8" w:color="auto"/>
              <w:right w:val="single" w:sz="8" w:color="auto"/>
            </w:tcBorders>
            <w:shd w:val="clear" w:color="auto" w:fill="CCEEFF"/>
          </w:tcPr>
          <w:p>
            <w:pPr>
              <w:spacing w:after="0"/>
              <w:rPr>
                <w:sz w:val="20"/>
                <w:szCs w:val="20"/>
                <w:color w:val="auto"/>
              </w:rPr>
            </w:pPr>
          </w:p>
        </w:tc>
        <w:tc>
          <w:tcPr>
            <w:tcW w:w="30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achieved.</w:t>
            </w:r>
          </w:p>
        </w:tc>
      </w:tr>
      <w:tr>
        <w:trPr>
          <w:trHeight w:val="198"/>
        </w:trPr>
        <w:tc>
          <w:tcPr>
            <w:tcW w:w="150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Approach and</w:t>
            </w:r>
          </w:p>
        </w:tc>
        <w:tc>
          <w:tcPr>
            <w:tcW w:w="328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The Board targets TFR within to be within</w:t>
            </w:r>
          </w:p>
        </w:tc>
        <w:tc>
          <w:tcPr>
            <w:tcW w:w="346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Target STVR remuneration for executive</w:t>
            </w:r>
          </w:p>
        </w:tc>
        <w:tc>
          <w:tcPr>
            <w:tcW w:w="30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Target LTVR remuneration for</w:t>
            </w:r>
          </w:p>
        </w:tc>
      </w:tr>
      <w:tr>
        <w:trPr>
          <w:trHeight w:val="216"/>
        </w:trPr>
        <w:tc>
          <w:tcPr>
            <w:tcW w:w="1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details</w:t>
            </w:r>
          </w:p>
        </w:tc>
        <w:tc>
          <w:tcPr>
            <w:tcW w:w="32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80-120% of the market median,</w:t>
            </w: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officers is set as a percentage of base salary.</w:t>
            </w: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officers is set as a percentage</w:t>
            </w:r>
          </w:p>
        </w:tc>
      </w:tr>
      <w:tr>
        <w:trPr>
          <w:trHeight w:val="216"/>
        </w:trPr>
        <w:tc>
          <w:tcPr>
            <w:tcW w:w="150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considering each Executive KMP’s:</w:t>
            </w:r>
          </w:p>
        </w:tc>
        <w:tc>
          <w:tcPr>
            <w:tcW w:w="3460" w:type="dxa"/>
            <w:vAlign w:val="bottom"/>
            <w:tcBorders>
              <w:right w:val="single" w:sz="8" w:color="auto"/>
            </w:tcBorders>
          </w:tcPr>
          <w:p>
            <w:pPr>
              <w:spacing w:after="0"/>
              <w:rPr>
                <w:sz w:val="18"/>
                <w:szCs w:val="18"/>
                <w:color w:val="auto"/>
              </w:rPr>
            </w:pP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base salary.</w:t>
            </w:r>
          </w:p>
        </w:tc>
      </w:tr>
      <w:tr>
        <w:trPr>
          <w:trHeight w:val="216"/>
        </w:trPr>
        <w:tc>
          <w:tcPr>
            <w:tcW w:w="150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competence and capability</w:t>
            </w: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STVR rewards annual financial and non-</w:t>
            </w:r>
          </w:p>
        </w:tc>
        <w:tc>
          <w:tcPr>
            <w:tcW w:w="3000" w:type="dxa"/>
            <w:vAlign w:val="bottom"/>
          </w:tcPr>
          <w:p>
            <w:pPr>
              <w:spacing w:after="0"/>
              <w:rPr>
                <w:sz w:val="18"/>
                <w:szCs w:val="18"/>
                <w:color w:val="auto"/>
              </w:rPr>
            </w:pPr>
          </w:p>
        </w:tc>
      </w:tr>
      <w:tr>
        <w:trPr>
          <w:trHeight w:val="216"/>
        </w:trPr>
        <w:tc>
          <w:tcPr>
            <w:tcW w:w="150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relativity to market benchmark, and</w:t>
            </w: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financial corporate objectives – maintaining a</w:t>
            </w: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LTVR aligns executive officer and</w:t>
            </w:r>
          </w:p>
        </w:tc>
      </w:tr>
      <w:tr>
        <w:trPr>
          <w:trHeight w:val="216"/>
        </w:trPr>
        <w:tc>
          <w:tcPr>
            <w:tcW w:w="150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motivational and retention impact of</w:t>
            </w: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focus on underlying value creation within the</w:t>
            </w: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 interests and rewards the</w:t>
            </w:r>
          </w:p>
        </w:tc>
      </w:tr>
      <w:tr>
        <w:trPr>
          <w:trHeight w:val="216"/>
        </w:trPr>
        <w:tc>
          <w:tcPr>
            <w:tcW w:w="150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TFR adjustments.</w:t>
            </w: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business operations.</w:t>
            </w: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achievement of long-term, sustainable</w:t>
            </w:r>
          </w:p>
        </w:tc>
      </w:tr>
      <w:tr>
        <w:trPr>
          <w:trHeight w:val="216"/>
        </w:trPr>
        <w:tc>
          <w:tcPr>
            <w:tcW w:w="150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Base salary is used to determine STVR and</w:t>
            </w:r>
          </w:p>
        </w:tc>
        <w:tc>
          <w:tcPr>
            <w:tcW w:w="3460" w:type="dxa"/>
            <w:vAlign w:val="bottom"/>
            <w:tcBorders>
              <w:right w:val="single" w:sz="8" w:color="auto"/>
            </w:tcBorders>
          </w:tcPr>
          <w:p>
            <w:pPr>
              <w:spacing w:after="0"/>
              <w:rPr>
                <w:sz w:val="18"/>
                <w:szCs w:val="18"/>
                <w:color w:val="auto"/>
              </w:rPr>
            </w:pP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performance and shareholder value</w:t>
            </w:r>
          </w:p>
        </w:tc>
      </w:tr>
      <w:tr>
        <w:trPr>
          <w:trHeight w:val="216"/>
        </w:trPr>
        <w:tc>
          <w:tcPr>
            <w:tcW w:w="150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LTVR targets rather than TFR so targets</w:t>
            </w:r>
          </w:p>
        </w:tc>
        <w:tc>
          <w:tcPr>
            <w:tcW w:w="3460" w:type="dxa"/>
            <w:vAlign w:val="bottom"/>
            <w:tcBorders>
              <w:right w:val="single" w:sz="8" w:color="auto"/>
            </w:tcBorders>
          </w:tcPr>
          <w:p>
            <w:pPr>
              <w:spacing w:after="0"/>
              <w:rPr>
                <w:sz w:val="18"/>
                <w:szCs w:val="18"/>
                <w:color w:val="auto"/>
              </w:rPr>
            </w:pP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creation.</w:t>
            </w:r>
          </w:p>
        </w:tc>
      </w:tr>
      <w:tr>
        <w:trPr>
          <w:trHeight w:val="216"/>
        </w:trPr>
        <w:tc>
          <w:tcPr>
            <w:tcW w:w="150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are not impacted by regional variations to</w:t>
            </w:r>
          </w:p>
        </w:tc>
        <w:tc>
          <w:tcPr>
            <w:tcW w:w="346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r>
      <w:tr>
        <w:trPr>
          <w:trHeight w:val="241"/>
        </w:trPr>
        <w:tc>
          <w:tcPr>
            <w:tcW w:w="1500" w:type="dxa"/>
            <w:vAlign w:val="bottom"/>
            <w:tcBorders>
              <w:bottom w:val="single" w:sz="8" w:color="auto"/>
              <w:right w:val="single" w:sz="8" w:color="auto"/>
            </w:tcBorders>
          </w:tcPr>
          <w:p>
            <w:pPr>
              <w:spacing w:after="0"/>
              <w:rPr>
                <w:sz w:val="20"/>
                <w:szCs w:val="20"/>
                <w:color w:val="auto"/>
              </w:rPr>
            </w:pPr>
          </w:p>
        </w:tc>
        <w:tc>
          <w:tcPr>
            <w:tcW w:w="32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pensions, etc.</w:t>
            </w:r>
          </w:p>
        </w:tc>
        <w:tc>
          <w:tcPr>
            <w:tcW w:w="346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r>
      <w:tr>
        <w:trPr>
          <w:trHeight w:val="571"/>
        </w:trPr>
        <w:tc>
          <w:tcPr>
            <w:tcW w:w="15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198</w:t>
            </w:r>
          </w:p>
        </w:tc>
        <w:tc>
          <w:tcPr>
            <w:tcW w:w="3000" w:type="dxa"/>
            <w:vAlign w:val="bottom"/>
          </w:tcPr>
          <w:p>
            <w:pPr>
              <w:spacing w:after="0"/>
              <w:rPr>
                <w:sz w:val="24"/>
                <w:szCs w:val="24"/>
                <w:color w:val="auto"/>
              </w:rPr>
            </w:pPr>
          </w:p>
        </w:tc>
      </w:tr>
      <w:tr>
        <w:trPr>
          <w:trHeight w:val="44"/>
        </w:trPr>
        <w:tc>
          <w:tcPr>
            <w:tcW w:w="150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Composition and</w:t>
            </w:r>
          </w:p>
        </w:tc>
        <w:tc>
          <w:tcPr>
            <w:tcW w:w="328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Base salary and pension contributions paid</w:t>
            </w:r>
          </w:p>
        </w:tc>
        <w:tc>
          <w:tcPr>
            <w:tcW w:w="34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Annual performance incentive delivered after</w:t>
            </w:r>
          </w:p>
        </w:tc>
        <w:tc>
          <w:tcPr>
            <w:tcW w:w="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Award</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w:t>
            </w:r>
          </w:p>
        </w:tc>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Performance</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Share</w:t>
            </w:r>
          </w:p>
        </w:tc>
      </w:tr>
      <w:tr>
        <w:trPr>
          <w:trHeight w:val="226"/>
        </w:trPr>
        <w:tc>
          <w:tcPr>
            <w:tcW w:w="15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w:t>
            </w:r>
          </w:p>
        </w:tc>
        <w:tc>
          <w:tcPr>
            <w:tcW w:w="328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 equal monthly or bi-weekly cash</w:t>
            </w:r>
          </w:p>
        </w:tc>
        <w:tc>
          <w:tcPr>
            <w:tcW w:w="34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the performance period and assessment:</w:t>
            </w:r>
          </w:p>
        </w:tc>
        <w:tc>
          <w:tcPr>
            <w:tcW w:w="3000" w:type="dxa"/>
            <w:vAlign w:val="bottom"/>
            <w:gridSpan w:val="4"/>
            <w:shd w:val="clear" w:color="auto" w:fill="CCEEFF"/>
          </w:tcPr>
          <w:p>
            <w:pPr>
              <w:ind w:left="100"/>
              <w:spacing w:after="0" w:line="226" w:lineRule="exact"/>
              <w:rPr>
                <w:sz w:val="20"/>
                <w:szCs w:val="20"/>
                <w:color w:val="auto"/>
              </w:rPr>
            </w:pPr>
            <w:r>
              <w:rPr>
                <w:rFonts w:ascii="Times New Roman" w:cs="Times New Roman" w:eastAsia="Times New Roman" w:hAnsi="Times New Roman"/>
                <w:sz w:val="16"/>
                <w:szCs w:val="16"/>
                <w:color w:val="auto"/>
              </w:rPr>
              <w:t>Appreciation Rights, or PSARs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 xml:space="preserve"> subject</w:t>
            </w:r>
          </w:p>
        </w:tc>
      </w:tr>
      <w:tr>
        <w:trPr>
          <w:trHeight w:val="216"/>
        </w:trPr>
        <w:tc>
          <w:tcPr>
            <w:tcW w:w="1500" w:type="dxa"/>
            <w:vAlign w:val="bottom"/>
            <w:tcBorders>
              <w:right w:val="single" w:sz="8" w:color="auto"/>
            </w:tcBorders>
            <w:shd w:val="clear" w:color="auto" w:fill="CCEEFF"/>
          </w:tcPr>
          <w:p>
            <w:pPr>
              <w:spacing w:after="0"/>
              <w:rPr>
                <w:sz w:val="18"/>
                <w:szCs w:val="18"/>
                <w:color w:val="auto"/>
              </w:rPr>
            </w:pPr>
          </w:p>
        </w:tc>
        <w:tc>
          <w:tcPr>
            <w:tcW w:w="328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installments (dependent upon the executive</w:t>
            </w:r>
          </w:p>
        </w:tc>
        <w:tc>
          <w:tcPr>
            <w:tcW w:w="3460" w:type="dxa"/>
            <w:vAlign w:val="bottom"/>
            <w:tcBorders>
              <w:right w:val="single" w:sz="8" w:color="auto"/>
            </w:tcBorders>
            <w:shd w:val="clear" w:color="auto" w:fill="CCEEFF"/>
          </w:tcPr>
          <w:p>
            <w:pPr>
              <w:spacing w:after="0"/>
              <w:rPr>
                <w:sz w:val="18"/>
                <w:szCs w:val="18"/>
                <w:color w:val="auto"/>
              </w:rPr>
            </w:pPr>
          </w:p>
        </w:tc>
        <w:tc>
          <w:tcPr>
            <w:tcW w:w="2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 achievement of</w:t>
            </w:r>
          </w:p>
        </w:tc>
        <w:tc>
          <w:tcPr>
            <w:tcW w:w="440" w:type="dxa"/>
            <w:vAlign w:val="bottom"/>
            <w:shd w:val="clear" w:color="auto" w:fill="CCEEFF"/>
          </w:tcPr>
          <w:p>
            <w:pPr>
              <w:spacing w:after="0"/>
              <w:rPr>
                <w:sz w:val="18"/>
                <w:szCs w:val="18"/>
                <w:color w:val="auto"/>
              </w:rPr>
            </w:pPr>
          </w:p>
        </w:tc>
      </w:tr>
      <w:tr>
        <w:trPr>
          <w:trHeight w:val="206"/>
        </w:trPr>
        <w:tc>
          <w:tcPr>
            <w:tcW w:w="1500" w:type="dxa"/>
            <w:vAlign w:val="bottom"/>
            <w:tcBorders>
              <w:right w:val="single" w:sz="8" w:color="auto"/>
            </w:tcBorders>
            <w:shd w:val="clear" w:color="auto" w:fill="CCEEFF"/>
          </w:tcPr>
          <w:p>
            <w:pPr>
              <w:spacing w:after="0"/>
              <w:rPr>
                <w:sz w:val="17"/>
                <w:szCs w:val="17"/>
                <w:color w:val="auto"/>
              </w:rPr>
            </w:pPr>
          </w:p>
        </w:tc>
        <w:tc>
          <w:tcPr>
            <w:tcW w:w="328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officer’s location) over the year, and</w:t>
            </w:r>
          </w:p>
        </w:tc>
        <w:tc>
          <w:tcPr>
            <w:tcW w:w="34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0A2E94"/>
              </w:rPr>
              <w:t>•</w:t>
            </w:r>
            <w:r>
              <w:rPr>
                <w:rFonts w:ascii="Times New Roman" w:cs="Times New Roman" w:eastAsia="Times New Roman" w:hAnsi="Times New Roman"/>
                <w:sz w:val="18"/>
                <w:szCs w:val="18"/>
                <w:color w:val="000000"/>
              </w:rPr>
              <w:t>75% in cash (approximately February the</w:t>
            </w:r>
          </w:p>
        </w:tc>
        <w:tc>
          <w:tcPr>
            <w:tcW w:w="2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3-year performance and vesting</w:t>
            </w:r>
          </w:p>
        </w:tc>
        <w:tc>
          <w:tcPr>
            <w:tcW w:w="440" w:type="dxa"/>
            <w:vAlign w:val="bottom"/>
            <w:shd w:val="clear" w:color="auto" w:fill="CCEEFF"/>
          </w:tcPr>
          <w:p>
            <w:pPr>
              <w:spacing w:after="0"/>
              <w:rPr>
                <w:sz w:val="17"/>
                <w:szCs w:val="17"/>
                <w:color w:val="auto"/>
              </w:rPr>
            </w:pPr>
          </w:p>
        </w:tc>
      </w:tr>
      <w:tr>
        <w:trPr>
          <w:trHeight w:val="226"/>
        </w:trPr>
        <w:tc>
          <w:tcPr>
            <w:tcW w:w="1500" w:type="dxa"/>
            <w:vAlign w:val="bottom"/>
            <w:tcBorders>
              <w:right w:val="single" w:sz="8" w:color="auto"/>
            </w:tcBorders>
            <w:shd w:val="clear" w:color="auto" w:fill="CCEEFF"/>
          </w:tcPr>
          <w:p>
            <w:pPr>
              <w:spacing w:after="0"/>
              <w:rPr>
                <w:sz w:val="19"/>
                <w:szCs w:val="19"/>
                <w:color w:val="auto"/>
              </w:rPr>
            </w:pPr>
          </w:p>
        </w:tc>
        <w:tc>
          <w:tcPr>
            <w:tcW w:w="3280" w:type="dxa"/>
            <w:vAlign w:val="bottom"/>
            <w:tcBorders>
              <w:right w:val="single" w:sz="8" w:color="auto"/>
            </w:tcBorders>
            <w:shd w:val="clear" w:color="auto" w:fill="CCEEFF"/>
          </w:tcPr>
          <w:p>
            <w:pPr>
              <w:ind w:left="120"/>
              <w:spacing w:after="0" w:line="226" w:lineRule="exact"/>
              <w:rPr>
                <w:sz w:val="20"/>
                <w:szCs w:val="20"/>
                <w:color w:val="auto"/>
              </w:rPr>
            </w:pPr>
            <w:r>
              <w:rPr>
                <w:rFonts w:ascii="Times New Roman" w:cs="Times New Roman" w:eastAsia="Times New Roman" w:hAnsi="Times New Roman"/>
                <w:sz w:val="16"/>
                <w:szCs w:val="16"/>
                <w:color w:val="auto"/>
              </w:rPr>
              <w:t>packaged benefits.</w:t>
            </w:r>
            <w:r>
              <w:rPr>
                <w:rFonts w:ascii="Times New Roman" w:cs="Times New Roman" w:eastAsia="Times New Roman" w:hAnsi="Times New Roman"/>
                <w:sz w:val="26"/>
                <w:szCs w:val="26"/>
                <w:color w:val="auto"/>
                <w:vertAlign w:val="superscript"/>
              </w:rPr>
              <w:t>1</w:t>
            </w:r>
          </w:p>
        </w:tc>
        <w:tc>
          <w:tcPr>
            <w:tcW w:w="3460" w:type="dxa"/>
            <w:vAlign w:val="bottom"/>
            <w:tcBorders>
              <w:right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following year), and</w:t>
            </w:r>
          </w:p>
        </w:tc>
        <w:tc>
          <w:tcPr>
            <w:tcW w:w="2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conditions, as well as a service</w:t>
            </w:r>
          </w:p>
        </w:tc>
        <w:tc>
          <w:tcPr>
            <w:tcW w:w="440" w:type="dxa"/>
            <w:vAlign w:val="bottom"/>
            <w:shd w:val="clear" w:color="auto" w:fill="CCEEFF"/>
          </w:tcPr>
          <w:p>
            <w:pPr>
              <w:spacing w:after="0"/>
              <w:rPr>
                <w:sz w:val="19"/>
                <w:szCs w:val="19"/>
                <w:color w:val="auto"/>
              </w:rPr>
            </w:pPr>
          </w:p>
        </w:tc>
      </w:tr>
      <w:tr>
        <w:trPr>
          <w:trHeight w:val="216"/>
        </w:trPr>
        <w:tc>
          <w:tcPr>
            <w:tcW w:w="1500" w:type="dxa"/>
            <w:vAlign w:val="bottom"/>
            <w:tcBorders>
              <w:right w:val="single" w:sz="8" w:color="auto"/>
            </w:tcBorders>
            <w:shd w:val="clear" w:color="auto" w:fill="CCEEFF"/>
          </w:tcPr>
          <w:p>
            <w:pPr>
              <w:spacing w:after="0"/>
              <w:rPr>
                <w:sz w:val="18"/>
                <w:szCs w:val="18"/>
                <w:color w:val="auto"/>
              </w:rPr>
            </w:pPr>
          </w:p>
        </w:tc>
        <w:tc>
          <w:tcPr>
            <w:tcW w:w="3280" w:type="dxa"/>
            <w:vAlign w:val="bottom"/>
            <w:tcBorders>
              <w:right w:val="single" w:sz="8" w:color="auto"/>
            </w:tcBorders>
            <w:shd w:val="clear" w:color="auto" w:fill="CCEEFF"/>
          </w:tcPr>
          <w:p>
            <w:pPr>
              <w:spacing w:after="0"/>
              <w:rPr>
                <w:sz w:val="18"/>
                <w:szCs w:val="18"/>
                <w:color w:val="auto"/>
              </w:rPr>
            </w:pPr>
          </w:p>
        </w:tc>
        <w:tc>
          <w:tcPr>
            <w:tcW w:w="34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0A2E94"/>
              </w:rPr>
              <w:t>•</w:t>
            </w:r>
            <w:r>
              <w:rPr>
                <w:rFonts w:ascii="Times New Roman" w:cs="Times New Roman" w:eastAsia="Times New Roman" w:hAnsi="Times New Roman"/>
                <w:sz w:val="18"/>
                <w:szCs w:val="18"/>
                <w:color w:val="000000"/>
              </w:rPr>
              <w:t>25% in deferred share rights to vest</w:t>
            </w:r>
          </w:p>
        </w:tc>
        <w:tc>
          <w:tcPr>
            <w:tcW w:w="1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requirement.</w:t>
            </w: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06"/>
        </w:trPr>
        <w:tc>
          <w:tcPr>
            <w:tcW w:w="1500" w:type="dxa"/>
            <w:vAlign w:val="bottom"/>
            <w:tcBorders>
              <w:right w:val="single" w:sz="8" w:color="auto"/>
            </w:tcBorders>
            <w:shd w:val="clear" w:color="auto" w:fill="CCEEFF"/>
          </w:tcPr>
          <w:p>
            <w:pPr>
              <w:spacing w:after="0"/>
              <w:rPr>
                <w:sz w:val="17"/>
                <w:szCs w:val="17"/>
                <w:color w:val="auto"/>
              </w:rPr>
            </w:pPr>
          </w:p>
        </w:tc>
        <w:tc>
          <w:tcPr>
            <w:tcW w:w="3280" w:type="dxa"/>
            <w:vAlign w:val="bottom"/>
            <w:tcBorders>
              <w:right w:val="single" w:sz="8" w:color="auto"/>
            </w:tcBorders>
            <w:shd w:val="clear" w:color="auto" w:fill="CCEEFF"/>
          </w:tcPr>
          <w:p>
            <w:pPr>
              <w:spacing w:after="0"/>
              <w:rPr>
                <w:sz w:val="17"/>
                <w:szCs w:val="17"/>
                <w:color w:val="auto"/>
              </w:rPr>
            </w:pPr>
          </w:p>
        </w:tc>
        <w:tc>
          <w:tcPr>
            <w:tcW w:w="3460" w:type="dxa"/>
            <w:vAlign w:val="bottom"/>
            <w:tcBorders>
              <w:right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approximately 12 months after the cash</w:t>
            </w:r>
          </w:p>
        </w:tc>
        <w:tc>
          <w:tcPr>
            <w:tcW w:w="2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Vesting occurs approximately 2-3</w:t>
            </w:r>
          </w:p>
        </w:tc>
        <w:tc>
          <w:tcPr>
            <w:tcW w:w="440" w:type="dxa"/>
            <w:vAlign w:val="bottom"/>
            <w:shd w:val="clear" w:color="auto" w:fill="CCEEFF"/>
          </w:tcPr>
          <w:p>
            <w:pPr>
              <w:spacing w:after="0"/>
              <w:rPr>
                <w:sz w:val="17"/>
                <w:szCs w:val="17"/>
                <w:color w:val="auto"/>
              </w:rPr>
            </w:pPr>
          </w:p>
        </w:tc>
      </w:tr>
      <w:tr>
        <w:trPr>
          <w:trHeight w:val="226"/>
        </w:trPr>
        <w:tc>
          <w:tcPr>
            <w:tcW w:w="1500" w:type="dxa"/>
            <w:vAlign w:val="bottom"/>
            <w:tcBorders>
              <w:right w:val="single" w:sz="8" w:color="auto"/>
            </w:tcBorders>
            <w:shd w:val="clear" w:color="auto" w:fill="CCEEFF"/>
          </w:tcPr>
          <w:p>
            <w:pPr>
              <w:spacing w:after="0"/>
              <w:rPr>
                <w:sz w:val="19"/>
                <w:szCs w:val="19"/>
                <w:color w:val="auto"/>
              </w:rPr>
            </w:pPr>
          </w:p>
        </w:tc>
        <w:tc>
          <w:tcPr>
            <w:tcW w:w="3280" w:type="dxa"/>
            <w:vAlign w:val="bottom"/>
            <w:tcBorders>
              <w:right w:val="single" w:sz="8" w:color="auto"/>
            </w:tcBorders>
            <w:shd w:val="clear" w:color="auto" w:fill="CCEEFF"/>
          </w:tcPr>
          <w:p>
            <w:pPr>
              <w:spacing w:after="0"/>
              <w:rPr>
                <w:sz w:val="19"/>
                <w:szCs w:val="19"/>
                <w:color w:val="auto"/>
              </w:rPr>
            </w:pPr>
          </w:p>
        </w:tc>
        <w:tc>
          <w:tcPr>
            <w:tcW w:w="3460" w:type="dxa"/>
            <w:vAlign w:val="bottom"/>
            <w:tcBorders>
              <w:right w:val="single" w:sz="8" w:color="auto"/>
            </w:tcBorders>
            <w:shd w:val="clear" w:color="auto" w:fill="CCEEFF"/>
          </w:tcPr>
          <w:p>
            <w:pPr>
              <w:ind w:left="420"/>
              <w:spacing w:after="0" w:line="226" w:lineRule="exact"/>
              <w:rPr>
                <w:sz w:val="20"/>
                <w:szCs w:val="20"/>
                <w:color w:val="auto"/>
              </w:rPr>
            </w:pPr>
            <w:r>
              <w:rPr>
                <w:rFonts w:ascii="Times New Roman" w:cs="Times New Roman" w:eastAsia="Times New Roman" w:hAnsi="Times New Roman"/>
                <w:sz w:val="16"/>
                <w:szCs w:val="16"/>
                <w:color w:val="auto"/>
              </w:rPr>
              <w:t>payment</w:t>
            </w:r>
            <w:r>
              <w:rPr>
                <w:rFonts w:ascii="Times New Roman" w:cs="Times New Roman" w:eastAsia="Times New Roman" w:hAnsi="Times New Roman"/>
                <w:sz w:val="26"/>
                <w:szCs w:val="26"/>
                <w:color w:val="auto"/>
                <w:vertAlign w:val="superscript"/>
              </w:rPr>
              <w:t>2</w:t>
            </w:r>
          </w:p>
        </w:tc>
        <w:tc>
          <w:tcPr>
            <w:tcW w:w="30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months after the end of the performance</w:t>
            </w:r>
          </w:p>
        </w:tc>
      </w:tr>
      <w:tr>
        <w:trPr>
          <w:trHeight w:val="241"/>
        </w:trPr>
        <w:tc>
          <w:tcPr>
            <w:tcW w:w="1500" w:type="dxa"/>
            <w:vAlign w:val="bottom"/>
            <w:tcBorders>
              <w:bottom w:val="single" w:sz="8" w:color="auto"/>
              <w:right w:val="single" w:sz="8" w:color="auto"/>
            </w:tcBorders>
            <w:shd w:val="clear" w:color="auto" w:fill="CCEEFF"/>
          </w:tcPr>
          <w:p>
            <w:pPr>
              <w:spacing w:after="0"/>
              <w:rPr>
                <w:sz w:val="20"/>
                <w:szCs w:val="20"/>
                <w:color w:val="auto"/>
              </w:rPr>
            </w:pPr>
          </w:p>
        </w:tc>
        <w:tc>
          <w:tcPr>
            <w:tcW w:w="3280" w:type="dxa"/>
            <w:vAlign w:val="bottom"/>
            <w:tcBorders>
              <w:bottom w:val="single" w:sz="8" w:color="auto"/>
              <w:right w:val="single" w:sz="8" w:color="auto"/>
            </w:tcBorders>
            <w:shd w:val="clear" w:color="auto" w:fill="CCEEFF"/>
          </w:tcPr>
          <w:p>
            <w:pPr>
              <w:spacing w:after="0"/>
              <w:rPr>
                <w:sz w:val="20"/>
                <w:szCs w:val="20"/>
                <w:color w:val="auto"/>
              </w:rPr>
            </w:pPr>
          </w:p>
        </w:tc>
        <w:tc>
          <w:tcPr>
            <w:tcW w:w="3460" w:type="dxa"/>
            <w:vAlign w:val="bottom"/>
            <w:tcBorders>
              <w:bottom w:val="single" w:sz="8" w:color="auto"/>
              <w:right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period.</w:t>
            </w:r>
          </w:p>
        </w:tc>
        <w:tc>
          <w:tcPr>
            <w:tcW w:w="4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r>
      <w:tr>
        <w:trPr>
          <w:trHeight w:val="198"/>
        </w:trPr>
        <w:tc>
          <w:tcPr>
            <w:tcW w:w="150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Peer Group</w:t>
            </w:r>
          </w:p>
        </w:tc>
        <w:tc>
          <w:tcPr>
            <w:tcW w:w="9300" w:type="dxa"/>
            <w:vAlign w:val="bottom"/>
            <w:gridSpan w:val="5"/>
          </w:tcPr>
          <w:p>
            <w:pPr>
              <w:ind w:left="120"/>
              <w:spacing w:after="0" w:line="198" w:lineRule="exact"/>
              <w:rPr>
                <w:sz w:val="20"/>
                <w:szCs w:val="20"/>
                <w:color w:val="auto"/>
              </w:rPr>
            </w:pPr>
            <w:r>
              <w:rPr>
                <w:rFonts w:ascii="Times New Roman" w:cs="Times New Roman" w:eastAsia="Times New Roman" w:hAnsi="Times New Roman"/>
                <w:sz w:val="18"/>
                <w:szCs w:val="18"/>
                <w:color w:val="auto"/>
              </w:rPr>
              <w:t>40 global listed companies in the health care sector, with a focus on the biotechnology, pharmaceutical and health care supply</w:t>
            </w:r>
          </w:p>
        </w:tc>
        <w:tc>
          <w:tcPr>
            <w:tcW w:w="440" w:type="dxa"/>
            <w:vAlign w:val="bottom"/>
          </w:tcPr>
          <w:p>
            <w:pPr>
              <w:spacing w:after="0"/>
              <w:rPr>
                <w:sz w:val="17"/>
                <w:szCs w:val="17"/>
                <w:color w:val="auto"/>
              </w:rPr>
            </w:pPr>
          </w:p>
        </w:tc>
      </w:tr>
      <w:tr>
        <w:trPr>
          <w:trHeight w:val="216"/>
        </w:trPr>
        <w:tc>
          <w:tcPr>
            <w:tcW w:w="1500" w:type="dxa"/>
            <w:vAlign w:val="bottom"/>
            <w:tcBorders>
              <w:right w:val="single" w:sz="8" w:color="auto"/>
            </w:tcBorders>
          </w:tcPr>
          <w:p>
            <w:pPr>
              <w:spacing w:after="0"/>
              <w:rPr>
                <w:sz w:val="18"/>
                <w:szCs w:val="18"/>
                <w:color w:val="auto"/>
              </w:rPr>
            </w:pPr>
          </w:p>
        </w:tc>
        <w:tc>
          <w:tcPr>
            <w:tcW w:w="97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industries. The companies were chosen based on the six-month average market capitalization and revenue (to August 31, 2023), with</w:t>
            </w:r>
          </w:p>
        </w:tc>
      </w:tr>
      <w:tr>
        <w:trPr>
          <w:trHeight w:val="241"/>
        </w:trPr>
        <w:tc>
          <w:tcPr>
            <w:tcW w:w="1500" w:type="dxa"/>
            <w:vAlign w:val="bottom"/>
            <w:tcBorders>
              <w:bottom w:val="single" w:sz="8" w:color="auto"/>
              <w:right w:val="single" w:sz="8" w:color="auto"/>
            </w:tcBorders>
          </w:tcPr>
          <w:p>
            <w:pPr>
              <w:spacing w:after="0"/>
              <w:rPr>
                <w:sz w:val="20"/>
                <w:szCs w:val="20"/>
                <w:color w:val="auto"/>
              </w:rPr>
            </w:pPr>
          </w:p>
        </w:tc>
        <w:tc>
          <w:tcPr>
            <w:tcW w:w="67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Telix positioned near the median of the comparator group for market analysis.</w:t>
            </w:r>
          </w:p>
        </w:tc>
        <w:tc>
          <w:tcPr>
            <w:tcW w:w="7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r>
    </w:tbl>
    <w:p>
      <w:pPr>
        <w:spacing w:after="0" w:line="198" w:lineRule="exact"/>
        <w:rPr>
          <w:sz w:val="20"/>
          <w:szCs w:val="20"/>
          <w:color w:val="auto"/>
        </w:rPr>
      </w:pPr>
    </w:p>
    <w:p>
      <w:pPr>
        <w:jc w:val="both"/>
        <w:ind w:left="500" w:hanging="492"/>
        <w:spacing w:after="0" w:line="257" w:lineRule="auto"/>
        <w:tabs>
          <w:tab w:leader="none" w:pos="5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Australian executive officers can choose to cap their superannuation at the statutory superannuation maximum and receive the additional 11% (January 1 to June 30, 2024) and 11.5% (July 1 to December 31, 2024) over the maximum as base salary. Refer to the details of executive officer remuneration for the fiscal year for further details.</w:t>
      </w:r>
    </w:p>
    <w:p>
      <w:pPr>
        <w:spacing w:after="0" w:line="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 2025, the equity deferral component for executive officer STVR increases to 50%.</w:t>
      </w:r>
    </w:p>
    <w:p>
      <w:pPr>
        <w:spacing w:after="0" w:line="9" w:lineRule="exact"/>
        <w:rPr>
          <w:rFonts w:ascii="Times New Roman" w:cs="Times New Roman" w:eastAsia="Times New Roman" w:hAnsi="Times New Roman"/>
          <w:sz w:val="18"/>
          <w:szCs w:val="18"/>
          <w:color w:val="auto"/>
        </w:rPr>
      </w:pPr>
    </w:p>
    <w:p>
      <w:pPr>
        <w:ind w:left="500" w:hanging="492"/>
        <w:spacing w:after="0" w:line="260" w:lineRule="auto"/>
        <w:tabs>
          <w:tab w:leader="none" w:pos="5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PSARs and other equity incentives are granted in accordance with the Equity Incentive Plan rules (approved by shareholders at the 2024 annual general meeting). Any grant made to the Managing Director and CEO is subject to shareholder approval.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the above elements constitutes the Target Total Remuneration Package, or TTRP.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Equity Focus</w:t>
      </w:r>
    </w:p>
    <w:p>
      <w:pPr>
        <w:spacing w:after="0" w:line="229"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8"/>
          <w:szCs w:val="18"/>
          <w:color w:val="auto"/>
        </w:rPr>
        <w:t>To attract and retain a strong and cohesive team of executive officers, additional remuneration awards may be made including sign-on incentives, retention incentives and other one-off incentives, aligned to our remuneration principles and philosophy. These awards are made in equity and subject to service and company performance conditions, aligning employee and shareholder interests.</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non-LTVR equity grants were made to executive officers in 2024:</w:t>
      </w:r>
    </w:p>
    <w:p>
      <w:pPr>
        <w:spacing w:after="0" w:line="225" w:lineRule="exact"/>
        <w:rPr>
          <w:sz w:val="20"/>
          <w:szCs w:val="20"/>
          <w:color w:val="auto"/>
        </w:rPr>
      </w:pPr>
    </w:p>
    <w:p>
      <w:pPr>
        <w:ind w:left="660" w:right="160" w:hanging="328"/>
        <w:spacing w:after="0" w:line="266"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Valeix in his former role as Group Chief Commercial Officer received the second and final tranche of 35,000 share rights, granted in May 2024. These remain subject to performance conditions and there was no acceleration of vesting or changes to the grant on Mr. Valeix’s change of role in August 2024.</w:t>
      </w:r>
    </w:p>
    <w:p>
      <w:pPr>
        <w:spacing w:after="0" w:line="17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Smith and Mr. Valeix received Performance Share Incentive Rights, or PSIRs, in March 2024 (after the 2023 full year results announcement). This one-off grant is intended to retain and motivate these business-critical individuals in the execution of our strategy and the creation of long-term sustainable value for shareholders.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Legacy equity awards (excluding sign on and LTVR grants) made to Telix’s two new executive officers that remain employed post their appointment to executive officer roles are as follows:</w:t>
      </w:r>
    </w:p>
    <w:p>
      <w:pPr>
        <w:spacing w:after="0" w:line="162" w:lineRule="exact"/>
        <w:rPr>
          <w:sz w:val="20"/>
          <w:szCs w:val="20"/>
          <w:color w:val="auto"/>
        </w:rPr>
      </w:pPr>
    </w:p>
    <w:p>
      <w:pPr>
        <w:ind w:left="660" w:right="60" w:hanging="328"/>
        <w:spacing w:after="0" w:line="261" w:lineRule="auto"/>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CEO – APAC (pre-executive officer role), Dr. Cade received 100,000 rights on July 19, 2021, subject to the achievement of a cumulative revenue target from product sales in Asia-Pacific, or APAC, for the period July 19, 2021 to July 18, 2026. Where the target is met these rights will automatically vest, however if the target is not met they will lapse. As at December 31, 2024 the target has not been achieved, so these rights remain outstanding subject to the initial terms.</w:t>
      </w:r>
    </w:p>
    <w:p>
      <w:pPr>
        <w:spacing w:after="0" w:line="169" w:lineRule="exact"/>
        <w:rPr>
          <w:rFonts w:ascii="Times New Roman" w:cs="Times New Roman" w:eastAsia="Times New Roman" w:hAnsi="Times New Roman"/>
          <w:sz w:val="18"/>
          <w:szCs w:val="18"/>
          <w:color w:val="auto"/>
        </w:rPr>
      </w:pPr>
    </w:p>
    <w:p>
      <w:pPr>
        <w:ind w:left="660" w:right="180" w:hanging="328"/>
        <w:spacing w:after="0" w:line="227" w:lineRule="auto"/>
        <w:tabs>
          <w:tab w:leader="none" w:pos="66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 Patti is a participant in our 2022 Talent Equity</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program, and received three tranches of 15,000 zero-priced rights over three years (45,000 in total, in April 2022, July 2023 and August 2024). This grant recognizes Dr. Patti’s potential and the key contributions he has made to our value inflection points in his pre-executive officer role. These rights will automatically vest in April 2025, subject to our Securities Dealing Policy.</w:t>
      </w:r>
    </w:p>
    <w:p>
      <w:pPr>
        <w:spacing w:after="0" w:line="199" w:lineRule="exact"/>
        <w:rPr>
          <w:rFonts w:ascii="Times New Roman" w:cs="Times New Roman" w:eastAsia="Times New Roman" w:hAnsi="Times New Roman"/>
          <w:sz w:val="17"/>
          <w:szCs w:val="17"/>
          <w:color w:val="auto"/>
        </w:rPr>
      </w:pPr>
    </w:p>
    <w:p>
      <w:pPr>
        <w:ind w:left="660" w:right="100" w:hanging="328"/>
        <w:spacing w:after="0" w:line="261" w:lineRule="auto"/>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Patti is also a participant in our 2023 Talent Equity program, and received two separate tranches of 15,000 (30,000 in total) zero-priced rights, in November 2023. Tranche 1 will vest in December 2026 (after 3 years) and tranche 2 in December 2027 (after 4 years) subject to continued employment and contribution to our strategic success. These rights will automatically vest in December 2026 and 2027, subject to our Securities Dealing Policy, respectively.</w:t>
      </w:r>
    </w:p>
    <w:p>
      <w:pPr>
        <w:spacing w:after="0" w:line="179"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Talent Equity program was offered to less than 10 key employees below executive officer level who demonstrated continued high performance and are key contributors to our success. Talent equity granted to these key performers, further aligns their interests with shareholders and rewards the achievement of shareholder value creation, and the long-term success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Fixed Remuneration (TFR)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Data</w:t>
      </w:r>
    </w:p>
    <w:p>
      <w:pPr>
        <w:spacing w:after="0" w:line="229"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8"/>
          <w:szCs w:val="18"/>
          <w:color w:val="auto"/>
        </w:rPr>
        <w:t>In 2024, initial fixed pay increases and changes to increase variable pay were introduced for executive officers following Mercer’s recommendation. The 2024 market positioning in 2024 was 60-71% of the TFR midpoint, below the Board’s commitment to align executive officer TFR within 80-120% of the median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market over time.</w:t>
      </w:r>
    </w:p>
    <w:p>
      <w:pPr>
        <w:sectPr>
          <w:pgSz w:w="11900" w:h="16838" w:orient="portrait"/>
          <w:cols w:equalWidth="0" w:num="1">
            <w:col w:w="11240"/>
          </w:cols>
          <w:pgMar w:left="320" w:top="116" w:right="339" w:bottom="929"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929" w:gutter="0" w:footer="0" w:header="0"/>
          <w:type w:val="continuous"/>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Review</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Executive officer TFR is reviewed annually in line with Telix’s performance review cycle for existing executive officers. Newly appointed or promoted executive officers have their TFR set considering appropriate market data and internal relativities at the time of their appointment.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Short-term Variable Remuneration (STVR)</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STVR is an annual performance incentive delivered in cash/equity following completion of the performance period and assessment of performance, using a corporate scorecard in approximately February the following year. From January 1, 2024, 25% of executive officer STVR outcomes will be granted as deferred share rights restricted for approximately 12 months from the cash payment date to February 2026, with the remaining 75% of the STVR outcome paid in cash in February 2025. Executive officers are measured against the STVR scorecard, which comprises 100% of their STVR opportunity.</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Executive officers may have their STVR either increased or decreased based upon non-corporate objective obligations of executive officers: contribution to good corporate governance, company values and market engagement, and driving a performance culture throughout the organization.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 to Dr. Behrenbruch is subject to shareholder approval at our 2025 Annual General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STVR eligibility was 65% of fixed pay for Dr. Behrenbruch and 35% for Mr. Smith, Dr. Cade and Dr. Patti.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Long-term Variable Remuneration (LTVR)</w:t>
      </w:r>
    </w:p>
    <w:p>
      <w:pPr>
        <w:spacing w:after="0" w:line="229"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LTVR is awarded in Performance Share Appreciation Rights, or PSARs, subject to the satisfaction of specific performance conditions set by the board of directors, plus terms and conditions over the performance period.</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PSARs have a 3-calendar year performance period and key terms are set each year by our board of directors.</w:t>
      </w:r>
    </w:p>
    <w:p>
      <w:pPr>
        <w:spacing w:after="0" w:line="225"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PSARs are rights to acquire shares equal in value to the gain above the notional ‘exercise’ price, subject to the satisfaction of specific performance conditions set by the Board, plus terms and conditions over the performance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the 2024 LTVR was awarded in PSARs based on the following:</w:t>
      </w:r>
    </w:p>
    <w:p>
      <w:pPr>
        <w:spacing w:after="0" w:line="225" w:lineRule="exact"/>
        <w:rPr>
          <w:sz w:val="20"/>
          <w:szCs w:val="20"/>
          <w:color w:val="auto"/>
        </w:rPr>
      </w:pPr>
    </w:p>
    <w:p>
      <w:pPr>
        <w:ind w:left="860" w:right="220" w:hanging="488"/>
        <w:spacing w:after="0" w:line="261" w:lineRule="auto"/>
        <w:tabs>
          <w:tab w:leader="none" w:pos="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PSARs granted was determined on the concluded value of A$5.9441, which was calculated by adjusting the fair value price of A$7.5882 (the independently determined Black Scholes valuation) for the probability of achievement of the non-market vesting conditions;</w:t>
      </w:r>
    </w:p>
    <w:p>
      <w:pPr>
        <w:ind w:left="860" w:hanging="488"/>
        <w:spacing w:after="0"/>
        <w:tabs>
          <w:tab w:leader="none" w:pos="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stretch target for the CEO on May 22, 2024 following shareholder approval;</w:t>
      </w:r>
    </w:p>
    <w:p>
      <w:pPr>
        <w:spacing w:after="0" w:line="9" w:lineRule="exact"/>
        <w:rPr>
          <w:rFonts w:ascii="Times New Roman" w:cs="Times New Roman" w:eastAsia="Times New Roman" w:hAnsi="Times New Roman"/>
          <w:sz w:val="18"/>
          <w:szCs w:val="18"/>
          <w:color w:val="auto"/>
        </w:rPr>
      </w:pPr>
    </w:p>
    <w:p>
      <w:pPr>
        <w:ind w:left="860" w:right="460" w:hanging="488"/>
        <w:spacing w:after="0" w:line="250" w:lineRule="auto"/>
        <w:tabs>
          <w:tab w:leader="none" w:pos="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target for all other executive officers on March 21, 2024. The additional stretch component (an additional 50%) was granted to all other executive officers for the 2023 and 2024 PSARs in November 2024;</w:t>
      </w:r>
    </w:p>
    <w:p>
      <w:pPr>
        <w:ind w:left="860" w:right="160" w:hanging="488"/>
        <w:spacing w:after="0" w:line="250" w:lineRule="auto"/>
        <w:tabs>
          <w:tab w:leader="none" w:pos="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notional ‘exercise’ price of A$11.94, being the volume weighted average price (VWAP) of our shares over the 20 trading days following the announcement of the 2023 full year annual results (February 23 to March 21, 2024); and</w:t>
      </w:r>
    </w:p>
    <w:p>
      <w:pPr>
        <w:ind w:left="860" w:hanging="488"/>
        <w:spacing w:after="0"/>
        <w:tabs>
          <w:tab w:leader="none" w:pos="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conditions at target related to:</w:t>
      </w:r>
    </w:p>
    <w:p>
      <w:pPr>
        <w:spacing w:after="0" w:line="9" w:lineRule="exact"/>
        <w:rPr>
          <w:rFonts w:ascii="Times New Roman" w:cs="Times New Roman" w:eastAsia="Times New Roman" w:hAnsi="Times New Roman"/>
          <w:sz w:val="18"/>
          <w:szCs w:val="18"/>
          <w:color w:val="auto"/>
        </w:rPr>
      </w:pPr>
    </w:p>
    <w:p>
      <w:pPr>
        <w:ind w:left="1040" w:right="300" w:hanging="492"/>
        <w:spacing w:after="0" w:line="250" w:lineRule="auto"/>
        <w:tabs>
          <w:tab w:leader="none" w:pos="10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earnings before interest, taxes, depreciation and amortization and research and development expenses (50% at target, with both a threshold (25% vesting) and stretch (100% vesting) opportunity with pro rata between);</w:t>
      </w:r>
    </w:p>
    <w:p>
      <w:pPr>
        <w:ind w:left="1040" w:right="20" w:hanging="492"/>
        <w:spacing w:after="0" w:line="250" w:lineRule="auto"/>
        <w:tabs>
          <w:tab w:leader="none" w:pos="10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milestone 1: marketing authorization application submitted in a commercially relevant jurisdiction for prostate cancer therapy (25%); and</w:t>
      </w:r>
    </w:p>
    <w:p>
      <w:pPr>
        <w:ind w:left="1040" w:hanging="492"/>
        <w:spacing w:after="0"/>
        <w:tabs>
          <w:tab w:leader="none" w:pos="10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milestone 2: interim data readout from a global Phase 3 trial in renal cancer therapy (25%).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Vesting of PSARs granted in the financial year ended December 31, 2022 is subject to achievement of both commercial and product development performance targets on a three-year cumulative basis, reflecting our current emerging status as a generator of sustainable revenue.</w:t>
      </w:r>
    </w:p>
    <w:p>
      <w:pPr>
        <w:spacing w:after="0" w:line="162"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In 2024, our executive officers were eligible to participate at target in PSARs under the LTVR plan at 100% of base salary for the Managing Director &amp; CEO and 60% of base salary for other executive officers. As noted above, with the offers made at stretch (150% of target) this resulted in grants to Dr. Behrenbruch of 150% base salary and 90% base salary for Mr. Smith, Dr. Cade and Dr. Patti.</w:t>
      </w:r>
    </w:p>
    <w:p>
      <w:pPr>
        <w:spacing w:after="0" w:line="17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Executive officers who depart the company prior to LTVR PSARs vesting are generally treated as follows, although our board of directors retains discretion to determine a different treatment:</w:t>
      </w:r>
    </w:p>
    <w:p>
      <w:pPr>
        <w:spacing w:after="0" w:line="162" w:lineRule="exact"/>
        <w:rPr>
          <w:sz w:val="20"/>
          <w:szCs w:val="20"/>
          <w:color w:val="auto"/>
        </w:rPr>
      </w:pPr>
    </w:p>
    <w:p>
      <w:pPr>
        <w:ind w:left="500" w:hanging="492"/>
        <w:spacing w:after="0"/>
        <w:tabs>
          <w:tab w:leader="none" w:pos="5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for cause: all unvested PSARs are forfeited.</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reasons (death, disability, resignation and redundancy):</w:t>
      </w:r>
    </w:p>
    <w:p>
      <w:pPr>
        <w:spacing w:after="0" w:line="9" w:lineRule="exact"/>
        <w:rPr>
          <w:rFonts w:ascii="Times New Roman" w:cs="Times New Roman" w:eastAsia="Times New Roman" w:hAnsi="Times New Roman"/>
          <w:sz w:val="18"/>
          <w:szCs w:val="18"/>
          <w:color w:val="auto"/>
        </w:rPr>
      </w:pPr>
    </w:p>
    <w:p>
      <w:pPr>
        <w:ind w:left="980" w:hanging="486"/>
        <w:spacing w:after="0" w:line="250" w:lineRule="auto"/>
        <w:tabs>
          <w:tab w:leader="none" w:pos="9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rata portion of the unvested PSARs based on the portion of the first year of the measurement period served will remain eligible to vest on the usual testing and vesting date; and/or</w:t>
      </w:r>
    </w:p>
    <w:p>
      <w:pPr>
        <w:ind w:left="980" w:hanging="486"/>
        <w:spacing w:after="0" w:line="260" w:lineRule="auto"/>
        <w:tabs>
          <w:tab w:leader="none" w:pos="9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will automatically exercise vested unrestricted PSARs into shares for departed executive officers who retain their PSARs after exit within 90 days of the PSARs becoming unrestricted.</w:t>
      </w:r>
    </w:p>
    <w:p>
      <w:pPr>
        <w:sectPr>
          <w:pgSz w:w="11900" w:h="16838" w:orient="portrait"/>
          <w:cols w:equalWidth="0" w:num="1">
            <w:col w:w="11240"/>
          </w:cols>
          <w:pgMar w:left="320" w:top="116" w:right="3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207" w:name="page208"/>
    <w:bookmarkEnd w:id="20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4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2024 Executive Officer Remuneration at Target</w:t>
            </w:r>
          </w:p>
        </w:tc>
        <w:tc>
          <w:tcPr>
            <w:tcW w:w="1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Short Term Variable Remuneration</w:t>
            </w: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Long Term Variable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400" w:type="dxa"/>
            <w:vAlign w:val="bottom"/>
          </w:tcPr>
          <w:p>
            <w:pPr>
              <w:spacing w:after="0"/>
              <w:rPr>
                <w:sz w:val="18"/>
                <w:szCs w:val="18"/>
                <w:color w:val="auto"/>
              </w:rPr>
            </w:pPr>
          </w:p>
        </w:tc>
        <w:tc>
          <w:tcPr>
            <w:tcW w:w="13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(STVR)</w:t>
            </w:r>
          </w:p>
        </w:tc>
        <w:tc>
          <w:tcPr>
            <w:tcW w:w="1980" w:type="dxa"/>
            <w:vAlign w:val="bottom"/>
          </w:tcPr>
          <w:p>
            <w:pPr>
              <w:spacing w:after="0"/>
              <w:rPr>
                <w:sz w:val="18"/>
                <w:szCs w:val="18"/>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Remuneration (LTVR)</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80" w:type="dxa"/>
            <w:vAlign w:val="bottom"/>
            <w:gridSpan w:val="2"/>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1380" w:type="dxa"/>
            <w:vAlign w:val="bottom"/>
            <w:vMerge w:val="continue"/>
          </w:tcPr>
          <w:p>
            <w:pPr>
              <w:spacing w:after="0"/>
              <w:rPr>
                <w:sz w:val="9"/>
                <w:szCs w:val="9"/>
                <w:color w:val="auto"/>
              </w:rPr>
            </w:pPr>
          </w:p>
        </w:tc>
        <w:tc>
          <w:tcPr>
            <w:tcW w:w="11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 of</w:t>
            </w:r>
          </w:p>
        </w:tc>
        <w:tc>
          <w:tcPr>
            <w:tcW w:w="1980" w:type="dxa"/>
            <w:vAlign w:val="bottom"/>
          </w:tcPr>
          <w:p>
            <w:pPr>
              <w:spacing w:after="0"/>
              <w:rPr>
                <w:sz w:val="9"/>
                <w:szCs w:val="9"/>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of</w:t>
            </w:r>
          </w:p>
        </w:tc>
        <w:tc>
          <w:tcPr>
            <w:tcW w:w="11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3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Total Target</w:t>
            </w:r>
          </w:p>
        </w:tc>
        <w:tc>
          <w:tcPr>
            <w:tcW w:w="0" w:type="dxa"/>
            <w:vAlign w:val="bottom"/>
          </w:tcPr>
          <w:p>
            <w:pPr>
              <w:spacing w:after="0"/>
              <w:rPr>
                <w:sz w:val="1"/>
                <w:szCs w:val="1"/>
                <w:color w:val="auto"/>
              </w:rPr>
            </w:pPr>
          </w:p>
        </w:tc>
      </w:tr>
      <w:tr>
        <w:trPr>
          <w:trHeight w:val="108"/>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1400" w:type="dxa"/>
            <w:vAlign w:val="bottom"/>
            <w:vMerge w:val="continue"/>
          </w:tcPr>
          <w:p>
            <w:pPr>
              <w:spacing w:after="0"/>
              <w:rPr>
                <w:sz w:val="9"/>
                <w:szCs w:val="9"/>
                <w:color w:val="auto"/>
              </w:rPr>
            </w:pPr>
          </w:p>
        </w:tc>
        <w:tc>
          <w:tcPr>
            <w:tcW w:w="13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from 2023</w:t>
            </w:r>
          </w:p>
        </w:tc>
        <w:tc>
          <w:tcPr>
            <w:tcW w:w="1160" w:type="dxa"/>
            <w:vAlign w:val="bottom"/>
            <w:vMerge w:val="continue"/>
          </w:tcPr>
          <w:p>
            <w:pPr>
              <w:spacing w:after="0"/>
              <w:rPr>
                <w:sz w:val="9"/>
                <w:szCs w:val="9"/>
                <w:color w:val="auto"/>
              </w:rPr>
            </w:pPr>
          </w:p>
        </w:tc>
        <w:tc>
          <w:tcPr>
            <w:tcW w:w="19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9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80" w:type="dxa"/>
            <w:vAlign w:val="bottom"/>
            <w:gridSpan w:val="2"/>
            <w:vMerge w:val="continue"/>
          </w:tcPr>
          <w:p>
            <w:pPr>
              <w:spacing w:after="0"/>
              <w:rPr>
                <w:sz w:val="9"/>
                <w:szCs w:val="9"/>
                <w:color w:val="auto"/>
              </w:rPr>
            </w:pPr>
          </w:p>
        </w:tc>
        <w:tc>
          <w:tcPr>
            <w:tcW w:w="14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1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base</w:t>
            </w:r>
          </w:p>
        </w:tc>
        <w:tc>
          <w:tcPr>
            <w:tcW w:w="1980" w:type="dxa"/>
            <w:vAlign w:val="bottom"/>
            <w:vMerge w:val="continue"/>
          </w:tcPr>
          <w:p>
            <w:pPr>
              <w:spacing w:after="0"/>
              <w:rPr>
                <w:sz w:val="9"/>
                <w:szCs w:val="9"/>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base</w:t>
            </w:r>
          </w:p>
        </w:tc>
        <w:tc>
          <w:tcPr>
            <w:tcW w:w="11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2"/>
                <w:szCs w:val="12"/>
                <w:b w:val="1"/>
                <w:bCs w:val="1"/>
                <w:color w:val="auto"/>
              </w:rPr>
              <w:t>1</w:t>
            </w:r>
          </w:p>
        </w:tc>
        <w:tc>
          <w:tcPr>
            <w:tcW w:w="13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w w:val="97"/>
              </w:rPr>
              <w:t>Remuneration</w:t>
            </w:r>
          </w:p>
        </w:tc>
        <w:tc>
          <w:tcPr>
            <w:tcW w:w="0" w:type="dxa"/>
            <w:vAlign w:val="bottom"/>
          </w:tcPr>
          <w:p>
            <w:pPr>
              <w:spacing w:after="0"/>
              <w:rPr>
                <w:sz w:val="1"/>
                <w:szCs w:val="1"/>
                <w:color w:val="auto"/>
              </w:rPr>
            </w:pPr>
          </w:p>
        </w:tc>
      </w:tr>
      <w:tr>
        <w:trPr>
          <w:trHeight w:val="98"/>
        </w:trPr>
        <w:tc>
          <w:tcPr>
            <w:tcW w:w="10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9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9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980" w:type="dxa"/>
            <w:vAlign w:val="bottom"/>
            <w:vMerge w:val="continue"/>
          </w:tcPr>
          <w:p>
            <w:pPr>
              <w:spacing w:after="0"/>
              <w:rPr>
                <w:sz w:val="12"/>
                <w:szCs w:val="12"/>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160" w:type="dxa"/>
            <w:vAlign w:val="bottom"/>
          </w:tcPr>
          <w:p>
            <w:pPr>
              <w:spacing w:after="0"/>
              <w:rPr>
                <w:sz w:val="12"/>
                <w:szCs w:val="12"/>
                <w:color w:val="auto"/>
              </w:rPr>
            </w:pPr>
          </w:p>
        </w:tc>
        <w:tc>
          <w:tcPr>
            <w:tcW w:w="13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(TTR)</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198"/>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Dr. Behrenbruch (MD &amp;</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880" w:type="dxa"/>
            <w:vAlign w:val="bottom"/>
            <w:gridSpan w:val="2"/>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AUD570,780</w:t>
            </w:r>
          </w:p>
        </w:tc>
        <w:tc>
          <w:tcPr>
            <w:tcW w:w="13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65%</w:t>
            </w:r>
          </w:p>
        </w:tc>
        <w:tc>
          <w:tcPr>
            <w:tcW w:w="19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AUD371,007</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100%</w:t>
            </w:r>
          </w:p>
        </w:tc>
        <w:tc>
          <w:tcPr>
            <w:tcW w:w="24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w w:val="98"/>
              </w:rPr>
              <w:t>AUD570,780AUD1,576,780</w:t>
            </w:r>
          </w:p>
        </w:tc>
        <w:tc>
          <w:tcPr>
            <w:tcW w:w="0" w:type="dxa"/>
            <w:vAlign w:val="bottom"/>
          </w:tcPr>
          <w:p>
            <w:pPr>
              <w:spacing w:after="0"/>
              <w:rPr>
                <w:sz w:val="1"/>
                <w:szCs w:val="1"/>
                <w:color w:val="auto"/>
              </w:rPr>
            </w:pPr>
          </w:p>
        </w:tc>
      </w:tr>
      <w:tr>
        <w:trPr>
          <w:trHeight w:val="126"/>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Group CEO)</w:t>
            </w:r>
          </w:p>
        </w:tc>
        <w:tc>
          <w:tcPr>
            <w:tcW w:w="14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9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2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880" w:type="dxa"/>
            <w:vAlign w:val="bottom"/>
            <w:gridSpan w:val="2"/>
            <w:vMerge w:val="continue"/>
          </w:tcPr>
          <w:p>
            <w:pPr>
              <w:spacing w:after="0"/>
              <w:rPr>
                <w:sz w:val="7"/>
                <w:szCs w:val="7"/>
                <w:color w:val="auto"/>
              </w:rPr>
            </w:pPr>
          </w:p>
        </w:tc>
        <w:tc>
          <w:tcPr>
            <w:tcW w:w="14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Smith (Group CFO)</w:t>
            </w:r>
          </w:p>
        </w:tc>
        <w:tc>
          <w:tcPr>
            <w:tcW w:w="1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AUD504,000</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35%</w:t>
            </w:r>
          </w:p>
        </w:tc>
        <w:tc>
          <w:tcPr>
            <w:tcW w:w="1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AUD176,400</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60%</w:t>
            </w:r>
          </w:p>
        </w:tc>
        <w:tc>
          <w:tcPr>
            <w:tcW w:w="24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8"/>
              </w:rPr>
              <w:t>AUD302,400AUD1,039,500</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Cade (Group CMO)</w:t>
            </w:r>
          </w:p>
        </w:tc>
        <w:tc>
          <w:tcPr>
            <w:tcW w:w="1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AUD490,000</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12"/>
                <w:szCs w:val="12"/>
                <w:color w:val="auto"/>
              </w:rPr>
              <w:t>2</w:t>
            </w:r>
          </w:p>
        </w:tc>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35%</w:t>
            </w:r>
          </w:p>
        </w:tc>
        <w:tc>
          <w:tcPr>
            <w:tcW w:w="1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AUD171,500</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60%</w:t>
            </w:r>
          </w:p>
        </w:tc>
        <w:tc>
          <w:tcPr>
            <w:tcW w:w="24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8"/>
              </w:rPr>
              <w:t>AUD294,000AUD1,010,625</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Patti (Group COO)</w:t>
            </w:r>
            <w:r>
              <w:rPr>
                <w:rFonts w:ascii="Times New Roman" w:cs="Times New Roman" w:eastAsia="Times New Roman" w:hAnsi="Times New Roman"/>
                <w:sz w:val="12"/>
                <w:szCs w:val="12"/>
                <w:color w:val="auto"/>
              </w:rPr>
              <w:t>3</w:t>
            </w:r>
          </w:p>
        </w:tc>
        <w:tc>
          <w:tcPr>
            <w:tcW w:w="1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USD360,000</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12"/>
                <w:szCs w:val="12"/>
                <w:color w:val="auto"/>
              </w:rPr>
              <w:t>2</w:t>
            </w:r>
          </w:p>
        </w:tc>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35%</w:t>
            </w:r>
          </w:p>
        </w:tc>
        <w:tc>
          <w:tcPr>
            <w:tcW w:w="1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USD126,000</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60%</w:t>
            </w:r>
          </w:p>
        </w:tc>
        <w:tc>
          <w:tcPr>
            <w:tcW w:w="24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USD216,000 USD720,000</w:t>
            </w:r>
          </w:p>
        </w:tc>
        <w:tc>
          <w:tcPr>
            <w:tcW w:w="0" w:type="dxa"/>
            <w:vAlign w:val="bottom"/>
          </w:tcPr>
          <w:p>
            <w:pPr>
              <w:spacing w:after="0"/>
              <w:rPr>
                <w:sz w:val="1"/>
                <w:szCs w:val="1"/>
                <w:color w:val="auto"/>
              </w:rPr>
            </w:pPr>
          </w:p>
        </w:tc>
      </w:tr>
      <w:tr>
        <w:trPr>
          <w:trHeight w:val="234"/>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Valeix (CCO)</w:t>
            </w:r>
            <w:r>
              <w:rPr>
                <w:rFonts w:ascii="Times New Roman" w:cs="Times New Roman" w:eastAsia="Times New Roman" w:hAnsi="Times New Roman"/>
                <w:sz w:val="12"/>
                <w:szCs w:val="12"/>
                <w:color w:val="auto"/>
              </w:rPr>
              <w:t>3</w:t>
            </w:r>
          </w:p>
        </w:tc>
        <w:tc>
          <w:tcPr>
            <w:tcW w:w="1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CHF345,150</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17%</w:t>
            </w:r>
          </w:p>
        </w:tc>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35%</w:t>
            </w:r>
          </w:p>
        </w:tc>
        <w:tc>
          <w:tcPr>
            <w:tcW w:w="1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CHF120,803</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60%</w:t>
            </w:r>
          </w:p>
        </w:tc>
        <w:tc>
          <w:tcPr>
            <w:tcW w:w="24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CHF207,090 CHF713,426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LTVR maximum opportunity is 150% of target (subject to achievement of the stretch financial performance condition)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Base salary set at commencement of new role following internal promotion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Dr. Patti and Mr. Valeix’s remuneration is disclosed on an annualized basis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Executive Officer STVR Outcomes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considers how performance outcomes are achieved in line with our Code of Conduct and corporate values.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2024 the board of directors assessed the STVR scorecard alongside these factors and approved STVR outcomes between 76.5% and 85% of target for executive officers, as follows:</w:t>
      </w:r>
    </w:p>
    <w:p>
      <w:pPr>
        <w:sectPr>
          <w:pgSz w:w="11900" w:h="16900" w:orient="portrait"/>
          <w:cols w:equalWidth="0" w:num="1">
            <w:col w:w="11240"/>
          </w:cols>
          <w:pgMar w:left="320" w:top="114" w:right="339" w:bottom="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Name</w:t>
      </w:r>
    </w:p>
    <w:p>
      <w:pPr>
        <w:spacing w:after="0" w:line="200" w:lineRule="exact"/>
        <w:rPr>
          <w:sz w:val="20"/>
          <w:szCs w:val="20"/>
          <w:color w:val="auto"/>
        </w:rPr>
      </w:pPr>
    </w:p>
    <w:p>
      <w:pPr>
        <w:spacing w:after="0" w:line="24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Dr. Behrenbruch Mr. Smith Dr. Cade</w:t>
      </w:r>
    </w:p>
    <w:p>
      <w:pPr>
        <w:spacing w:after="0" w:line="2" w:lineRule="exact"/>
        <w:rPr>
          <w:sz w:val="20"/>
          <w:szCs w:val="20"/>
          <w:color w:val="auto"/>
        </w:rPr>
      </w:pPr>
    </w:p>
    <w:p>
      <w:pPr>
        <w:ind w:right="360" w:firstLine="2"/>
        <w:spacing w:after="0" w:line="237" w:lineRule="auto"/>
        <w:rPr>
          <w:sz w:val="20"/>
          <w:szCs w:val="20"/>
          <w:color w:val="auto"/>
        </w:rPr>
      </w:pPr>
      <w:r>
        <w:rPr>
          <w:rFonts w:ascii="Times New Roman" w:cs="Times New Roman" w:eastAsia="Times New Roman" w:hAnsi="Times New Roman"/>
          <w:sz w:val="17"/>
          <w:szCs w:val="17"/>
          <w:color w:val="auto"/>
        </w:rPr>
        <w:t>Dr. Patti</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Mr. Valeix</w:t>
      </w:r>
      <w:r>
        <w:rPr>
          <w:rFonts w:ascii="Times New Roman" w:cs="Times New Roman" w:eastAsia="Times New Roman" w:hAnsi="Times New Roman"/>
          <w:sz w:val="28"/>
          <w:szCs w:val="28"/>
          <w:color w:val="auto"/>
          <w:vertAlign w:val="superscript"/>
        </w:rPr>
        <w:t>2</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60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Actual STVR</w:t>
            </w:r>
          </w:p>
        </w:tc>
        <w:tc>
          <w:tcPr>
            <w:tcW w:w="24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Paid in cash</w:t>
            </w:r>
          </w:p>
        </w:tc>
        <w:tc>
          <w:tcPr>
            <w:tcW w:w="260" w:type="dxa"/>
            <w:vAlign w:val="bottom"/>
          </w:tcPr>
          <w:p>
            <w:pPr>
              <w:spacing w:after="0"/>
              <w:rPr>
                <w:sz w:val="17"/>
                <w:szCs w:val="17"/>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Paid as</w:t>
            </w:r>
          </w:p>
        </w:tc>
        <w:tc>
          <w:tcPr>
            <w:tcW w:w="19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STVR actual as</w:t>
            </w: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 target</w:t>
            </w: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STVR</w:t>
            </w:r>
            <w:r>
              <w:rPr>
                <w:rFonts w:ascii="Times New Roman" w:cs="Times New Roman" w:eastAsia="Times New Roman" w:hAnsi="Times New Roman"/>
                <w:sz w:val="22"/>
                <w:szCs w:val="22"/>
                <w:b w:val="1"/>
                <w:bCs w:val="1"/>
                <w:color w:val="auto"/>
                <w:vertAlign w:val="superscript"/>
              </w:rPr>
              <w:t>1</w:t>
            </w:r>
          </w:p>
        </w:tc>
        <w:tc>
          <w:tcPr>
            <w:tcW w:w="8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awarded</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deferred</w:t>
            </w:r>
          </w:p>
        </w:tc>
        <w:tc>
          <w:tcPr>
            <w:tcW w:w="1900" w:type="dxa"/>
            <w:vAlign w:val="bottom"/>
            <w:gridSpan w:val="5"/>
          </w:tcPr>
          <w:p>
            <w:pPr>
              <w:ind w:left="300"/>
              <w:spacing w:after="0" w:line="196" w:lineRule="exact"/>
              <w:rPr>
                <w:sz w:val="20"/>
                <w:szCs w:val="20"/>
                <w:color w:val="auto"/>
              </w:rPr>
            </w:pPr>
            <w:r>
              <w:rPr>
                <w:rFonts w:ascii="Times New Roman" w:cs="Times New Roman" w:eastAsia="Times New Roman" w:hAnsi="Times New Roman"/>
                <w:sz w:val="18"/>
                <w:szCs w:val="18"/>
                <w:b w:val="1"/>
                <w:bCs w:val="1"/>
                <w:color w:val="auto"/>
              </w:rPr>
              <w:t>% of</w:t>
            </w:r>
          </w:p>
        </w:tc>
        <w:tc>
          <w:tcPr>
            <w:tcW w:w="7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STVR</w:t>
            </w: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share rights</w:t>
            </w:r>
          </w:p>
        </w:tc>
        <w:tc>
          <w:tcPr>
            <w:tcW w:w="1900" w:type="dxa"/>
            <w:vAlign w:val="bottom"/>
            <w:gridSpan w:val="5"/>
          </w:tcPr>
          <w:p>
            <w:pPr>
              <w:ind w:left="300"/>
              <w:spacing w:after="0" w:line="196" w:lineRule="exact"/>
              <w:rPr>
                <w:sz w:val="20"/>
                <w:szCs w:val="20"/>
                <w:color w:val="auto"/>
              </w:rPr>
            </w:pPr>
            <w:r>
              <w:rPr>
                <w:rFonts w:ascii="Times New Roman" w:cs="Times New Roman" w:eastAsia="Times New Roman" w:hAnsi="Times New Roman"/>
                <w:sz w:val="18"/>
                <w:szCs w:val="18"/>
                <w:b w:val="1"/>
                <w:bCs w:val="1"/>
                <w:color w:val="auto"/>
              </w:rPr>
              <w:t>target</w:t>
            </w:r>
          </w:p>
        </w:tc>
        <w:tc>
          <w:tcPr>
            <w:tcW w:w="7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forfeited</w:t>
            </w:r>
          </w:p>
        </w:tc>
        <w:tc>
          <w:tcPr>
            <w:tcW w:w="0" w:type="dxa"/>
            <w:vAlign w:val="bottom"/>
          </w:tcPr>
          <w:p>
            <w:pPr>
              <w:spacing w:after="0"/>
              <w:rPr>
                <w:sz w:val="1"/>
                <w:szCs w:val="1"/>
                <w:color w:val="auto"/>
              </w:rPr>
            </w:pPr>
          </w:p>
        </w:tc>
      </w:tr>
      <w:tr>
        <w:trPr>
          <w:trHeight w:val="20"/>
        </w:trPr>
        <w:tc>
          <w:tcPr>
            <w:tcW w:w="1360" w:type="dxa"/>
            <w:vAlign w:val="bottom"/>
            <w:gridSpan w:val="3"/>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AUD $371,007</w:t>
            </w:r>
          </w:p>
        </w:tc>
        <w:tc>
          <w:tcPr>
            <w:tcW w:w="16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AUD $315,536</w:t>
            </w:r>
          </w:p>
        </w:tc>
        <w:tc>
          <w:tcPr>
            <w:tcW w:w="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 $236,517</w:t>
            </w:r>
          </w:p>
        </w:tc>
        <w:tc>
          <w:tcPr>
            <w:tcW w:w="260" w:type="dxa"/>
            <w:vAlign w:val="bottom"/>
          </w:tcPr>
          <w:p>
            <w:pPr>
              <w:spacing w:after="0"/>
              <w:rPr>
                <w:sz w:val="18"/>
                <w:szCs w:val="18"/>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AUD $78,839</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AUD $176,400</w:t>
            </w:r>
          </w:p>
        </w:tc>
        <w:tc>
          <w:tcPr>
            <w:tcW w:w="16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AUD $134,946</w:t>
            </w:r>
          </w:p>
        </w:tc>
        <w:tc>
          <w:tcPr>
            <w:tcW w:w="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 $101,210</w:t>
            </w:r>
          </w:p>
        </w:tc>
        <w:tc>
          <w:tcPr>
            <w:tcW w:w="260" w:type="dxa"/>
            <w:vAlign w:val="bottom"/>
          </w:tcPr>
          <w:p>
            <w:pPr>
              <w:spacing w:after="0"/>
              <w:rPr>
                <w:sz w:val="18"/>
                <w:szCs w:val="18"/>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AUD $33,736</w:t>
            </w:r>
          </w:p>
        </w:tc>
        <w:tc>
          <w:tcPr>
            <w:tcW w:w="15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76.5%</w:t>
            </w:r>
          </w:p>
        </w:tc>
        <w:tc>
          <w:tcPr>
            <w:tcW w:w="4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23.5%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AUD $171,500</w:t>
            </w:r>
          </w:p>
        </w:tc>
        <w:tc>
          <w:tcPr>
            <w:tcW w:w="16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AUD $131,198</w:t>
            </w:r>
          </w:p>
        </w:tc>
        <w:tc>
          <w:tcPr>
            <w:tcW w:w="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 $98,399</w:t>
            </w:r>
          </w:p>
        </w:tc>
        <w:tc>
          <w:tcPr>
            <w:tcW w:w="260" w:type="dxa"/>
            <w:vAlign w:val="bottom"/>
          </w:tcPr>
          <w:p>
            <w:pPr>
              <w:spacing w:after="0"/>
              <w:rPr>
                <w:sz w:val="18"/>
                <w:szCs w:val="18"/>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AUD $32,799</w:t>
            </w:r>
          </w:p>
        </w:tc>
        <w:tc>
          <w:tcPr>
            <w:tcW w:w="15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76.5%</w:t>
            </w:r>
          </w:p>
        </w:tc>
        <w:tc>
          <w:tcPr>
            <w:tcW w:w="4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23.5%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USD $102,181</w:t>
            </w:r>
          </w:p>
        </w:tc>
        <w:tc>
          <w:tcPr>
            <w:tcW w:w="16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USD $86,854</w:t>
            </w:r>
          </w:p>
        </w:tc>
        <w:tc>
          <w:tcPr>
            <w:tcW w:w="16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USD $65,140</w:t>
            </w:r>
          </w:p>
        </w:tc>
        <w:tc>
          <w:tcPr>
            <w:tcW w:w="156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USD $21,713</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CHF 76,453</w:t>
            </w:r>
          </w:p>
        </w:tc>
        <w:tc>
          <w:tcPr>
            <w:tcW w:w="16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CHF 61,736</w:t>
            </w:r>
          </w:p>
        </w:tc>
        <w:tc>
          <w:tcPr>
            <w:tcW w:w="24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CHF 46,302</w:t>
            </w:r>
          </w:p>
        </w:tc>
        <w:tc>
          <w:tcPr>
            <w:tcW w:w="156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CHF 15,434</w:t>
            </w:r>
          </w:p>
        </w:tc>
        <w:tc>
          <w:tcPr>
            <w:tcW w:w="15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80.8%</w:t>
            </w:r>
          </w:p>
        </w:tc>
        <w:tc>
          <w:tcPr>
            <w:tcW w:w="40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19.2%</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ectPr>
          <w:pgSz w:w="11900" w:h="16900" w:orient="portrait"/>
          <w:cols w:equalWidth="0" w:num="2">
            <w:col w:w="1200" w:space="420"/>
            <w:col w:w="9620"/>
          </w:cols>
          <w:pgMar w:left="320" w:top="114" w:right="339" w:bottom="0" w:gutter="0" w:footer="0" w:header="0"/>
          <w:type w:val="continuous"/>
        </w:sectPr>
      </w:pPr>
    </w:p>
    <w:p>
      <w:pPr>
        <w:ind w:left="340" w:hanging="332"/>
        <w:spacing w:after="0"/>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Patti commenced as Group Chief Operating Officer on March 11, 2024. His remuneration is based on his period as executive officer only</w:t>
      </w:r>
    </w:p>
    <w:p>
      <w:pPr>
        <w:spacing w:after="0" w:line="27"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Valeix transitioned to the non-executive officer role of CEO - Therapeutics effective August 19, 2024. His remuneration is based on his period as executive officer only.</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2025 Executive Officer Remuneration at Target</w:t>
            </w:r>
          </w:p>
        </w:tc>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1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Short Term Variable</w:t>
            </w:r>
          </w:p>
        </w:tc>
        <w:tc>
          <w:tcPr>
            <w:tcW w:w="25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Long Term Variable</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Remuneration (STVR)</w:t>
            </w:r>
          </w:p>
        </w:tc>
        <w:tc>
          <w:tcPr>
            <w:tcW w:w="25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Remuneration (LTVR)</w:t>
            </w:r>
          </w:p>
        </w:tc>
        <w:tc>
          <w:tcPr>
            <w:tcW w:w="1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Target</w:t>
            </w:r>
          </w:p>
        </w:tc>
        <w:tc>
          <w:tcPr>
            <w:tcW w:w="0" w:type="dxa"/>
            <w:vAlign w:val="bottom"/>
          </w:tcPr>
          <w:p>
            <w:pPr>
              <w:spacing w:after="0"/>
              <w:rPr>
                <w:sz w:val="1"/>
                <w:szCs w:val="1"/>
                <w:color w:val="auto"/>
              </w:rPr>
            </w:pPr>
          </w:p>
        </w:tc>
      </w:tr>
      <w:tr>
        <w:trPr>
          <w:trHeight w:val="206"/>
        </w:trPr>
        <w:tc>
          <w:tcPr>
            <w:tcW w:w="1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 of</w:t>
            </w:r>
          </w:p>
        </w:tc>
        <w:tc>
          <w:tcPr>
            <w:tcW w:w="14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9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of</w:t>
            </w:r>
          </w:p>
        </w:tc>
        <w:tc>
          <w:tcPr>
            <w:tcW w:w="1640" w:type="dxa"/>
            <w:vAlign w:val="bottom"/>
          </w:tcPr>
          <w:p>
            <w:pPr>
              <w:spacing w:after="0"/>
              <w:rPr>
                <w:sz w:val="17"/>
                <w:szCs w:val="17"/>
                <w:color w:val="auto"/>
              </w:rPr>
            </w:pPr>
          </w:p>
        </w:tc>
        <w:tc>
          <w:tcPr>
            <w:tcW w:w="1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Remuneration</w:t>
            </w:r>
          </w:p>
        </w:tc>
        <w:tc>
          <w:tcPr>
            <w:tcW w:w="0" w:type="dxa"/>
            <w:vAlign w:val="bottom"/>
          </w:tcPr>
          <w:p>
            <w:pPr>
              <w:spacing w:after="0"/>
              <w:rPr>
                <w:sz w:val="1"/>
                <w:szCs w:val="1"/>
                <w:color w:val="auto"/>
              </w:rPr>
            </w:pPr>
          </w:p>
        </w:tc>
      </w:tr>
      <w:tr>
        <w:trPr>
          <w:trHeight w:val="118"/>
        </w:trPr>
        <w:tc>
          <w:tcPr>
            <w:tcW w:w="17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from base</w:t>
            </w:r>
          </w:p>
        </w:tc>
        <w:tc>
          <w:tcPr>
            <w:tcW w:w="1480" w:type="dxa"/>
            <w:vAlign w:val="bottom"/>
            <w:vMerge w:val="continue"/>
          </w:tcPr>
          <w:p>
            <w:pPr>
              <w:spacing w:after="0"/>
              <w:rPr>
                <w:sz w:val="10"/>
                <w:szCs w:val="10"/>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base</w:t>
            </w:r>
          </w:p>
        </w:tc>
        <w:tc>
          <w:tcPr>
            <w:tcW w:w="1640" w:type="dxa"/>
            <w:vAlign w:val="bottom"/>
            <w:vMerge w:val="restart"/>
          </w:tcPr>
          <w:p>
            <w:pPr>
              <w:ind w:left="240"/>
              <w:spacing w:after="0" w:line="226" w:lineRule="exact"/>
              <w:rPr>
                <w:sz w:val="20"/>
                <w:szCs w:val="20"/>
                <w:color w:val="auto"/>
              </w:rPr>
            </w:pPr>
            <w:r>
              <w:rPr>
                <w:rFonts w:ascii="Times New Roman" w:cs="Times New Roman" w:eastAsia="Times New Roman" w:hAnsi="Times New Roman"/>
                <w:sz w:val="16"/>
                <w:szCs w:val="16"/>
                <w:b w:val="1"/>
                <w:bCs w:val="1"/>
                <w:color w:val="auto"/>
              </w:rPr>
              <w:t>Annual target</w:t>
            </w:r>
            <w:r>
              <w:rPr>
                <w:rFonts w:ascii="Times New Roman" w:cs="Times New Roman" w:eastAsia="Times New Roman" w:hAnsi="Times New Roman"/>
                <w:sz w:val="26"/>
                <w:szCs w:val="26"/>
                <w:b w:val="1"/>
                <w:bCs w:val="1"/>
                <w:color w:val="auto"/>
                <w:vertAlign w:val="superscript"/>
              </w:rPr>
              <w:t>2</w:t>
            </w:r>
          </w:p>
        </w:tc>
        <w:tc>
          <w:tcPr>
            <w:tcW w:w="1400" w:type="dxa"/>
            <w:vAlign w:val="bottom"/>
            <w:vMerge w:val="restart"/>
          </w:tcPr>
          <w:p>
            <w:pPr>
              <w:ind w:left="240"/>
              <w:spacing w:after="0" w:line="226" w:lineRule="exact"/>
              <w:rPr>
                <w:sz w:val="20"/>
                <w:szCs w:val="20"/>
                <w:color w:val="auto"/>
              </w:rPr>
            </w:pPr>
            <w:r>
              <w:rPr>
                <w:rFonts w:ascii="Times New Roman" w:cs="Times New Roman" w:eastAsia="Times New Roman" w:hAnsi="Times New Roman"/>
                <w:sz w:val="16"/>
                <w:szCs w:val="16"/>
                <w:b w:val="1"/>
                <w:bCs w:val="1"/>
                <w:color w:val="auto"/>
              </w:rPr>
              <w:t>(TTR)</w:t>
            </w:r>
            <w:r>
              <w:rPr>
                <w:rFonts w:ascii="Times New Roman" w:cs="Times New Roman" w:eastAsia="Times New Roman" w:hAnsi="Times New Roman"/>
                <w:sz w:val="26"/>
                <w:szCs w:val="26"/>
                <w:b w:val="1"/>
                <w:bCs w:val="1"/>
                <w:color w:val="auto"/>
                <w:vertAlign w:val="superscript"/>
              </w:rPr>
              <w:t>1</w:t>
            </w: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20" w:type="dxa"/>
            <w:vAlign w:val="bottom"/>
            <w:gridSpan w:val="2"/>
            <w:vMerge w:val="continue"/>
          </w:tcPr>
          <w:p>
            <w:pPr>
              <w:spacing w:after="0"/>
              <w:rPr>
                <w:sz w:val="9"/>
                <w:szCs w:val="9"/>
                <w:color w:val="auto"/>
              </w:rPr>
            </w:pPr>
          </w:p>
        </w:tc>
        <w:tc>
          <w:tcPr>
            <w:tcW w:w="14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9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Executive KMP</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480" w:type="dxa"/>
            <w:vAlign w:val="bottom"/>
            <w:vMerge w:val="continue"/>
          </w:tcPr>
          <w:p>
            <w:pPr>
              <w:spacing w:after="0"/>
              <w:rPr>
                <w:sz w:val="11"/>
                <w:szCs w:val="11"/>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72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4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Christian Behrenbruch</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AUD799,092</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40%</w:t>
            </w:r>
          </w:p>
        </w:tc>
        <w:tc>
          <w:tcPr>
            <w:tcW w:w="1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110%</w:t>
            </w:r>
          </w:p>
        </w:tc>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AUD879,001</w:t>
            </w:r>
          </w:p>
        </w:tc>
        <w:tc>
          <w:tcPr>
            <w:tcW w:w="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150%</w:t>
            </w:r>
          </w:p>
        </w:tc>
        <w:tc>
          <w:tcPr>
            <w:tcW w:w="1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AUD1,198,634</w:t>
            </w:r>
          </w:p>
        </w:tc>
        <w:tc>
          <w:tcPr>
            <w:tcW w:w="1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AUD2,970,624</w:t>
            </w:r>
          </w:p>
        </w:tc>
        <w:tc>
          <w:tcPr>
            <w:tcW w:w="0" w:type="dxa"/>
            <w:vAlign w:val="bottom"/>
          </w:tcPr>
          <w:p>
            <w:pPr>
              <w:spacing w:after="0"/>
              <w:rPr>
                <w:sz w:val="1"/>
                <w:szCs w:val="1"/>
                <w:color w:val="auto"/>
              </w:rPr>
            </w:pPr>
          </w:p>
        </w:tc>
      </w:tr>
      <w:tr>
        <w:trPr>
          <w:trHeight w:val="144"/>
        </w:trPr>
        <w:tc>
          <w:tcPr>
            <w:tcW w:w="172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(MD &amp; Group CEO)</w:t>
            </w:r>
          </w:p>
        </w:tc>
        <w:tc>
          <w:tcPr>
            <w:tcW w:w="1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Darren Smith (Group</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AUD705,600</w:t>
            </w: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40%</w:t>
            </w: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65%</w:t>
            </w:r>
          </w:p>
        </w:tc>
        <w:tc>
          <w:tcPr>
            <w:tcW w:w="14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AUD458,640</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100%</w:t>
            </w:r>
          </w:p>
        </w:tc>
        <w:tc>
          <w:tcPr>
            <w:tcW w:w="16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AUD705,600</w:t>
            </w:r>
          </w:p>
        </w:tc>
        <w:tc>
          <w:tcPr>
            <w:tcW w:w="14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AUD1,952,748</w:t>
            </w:r>
          </w:p>
        </w:tc>
        <w:tc>
          <w:tcPr>
            <w:tcW w:w="0" w:type="dxa"/>
            <w:vAlign w:val="bottom"/>
          </w:tcPr>
          <w:p>
            <w:pPr>
              <w:spacing w:after="0"/>
              <w:rPr>
                <w:sz w:val="1"/>
                <w:szCs w:val="1"/>
                <w:color w:val="auto"/>
              </w:rPr>
            </w:pPr>
          </w:p>
        </w:tc>
      </w:tr>
      <w:tr>
        <w:trPr>
          <w:trHeight w:val="126"/>
        </w:trPr>
        <w:tc>
          <w:tcPr>
            <w:tcW w:w="1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CFO)</w:t>
            </w:r>
          </w:p>
        </w:tc>
        <w:tc>
          <w:tcPr>
            <w:tcW w:w="12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72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David Cade (Group</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AUD539,000</w:t>
            </w: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65%</w:t>
            </w:r>
          </w:p>
        </w:tc>
        <w:tc>
          <w:tcPr>
            <w:tcW w:w="14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AUD350,350</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100%</w:t>
            </w:r>
          </w:p>
        </w:tc>
        <w:tc>
          <w:tcPr>
            <w:tcW w:w="16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AUD539,000</w:t>
            </w:r>
          </w:p>
        </w:tc>
        <w:tc>
          <w:tcPr>
            <w:tcW w:w="14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8"/>
              </w:rPr>
              <w:t>AUD 1,491,683</w:t>
            </w:r>
          </w:p>
        </w:tc>
        <w:tc>
          <w:tcPr>
            <w:tcW w:w="0" w:type="dxa"/>
            <w:vAlign w:val="bottom"/>
          </w:tcPr>
          <w:p>
            <w:pPr>
              <w:spacing w:after="0"/>
              <w:rPr>
                <w:sz w:val="1"/>
                <w:szCs w:val="1"/>
                <w:color w:val="auto"/>
              </w:rPr>
            </w:pPr>
          </w:p>
        </w:tc>
      </w:tr>
      <w:tr>
        <w:trPr>
          <w:trHeight w:val="126"/>
        </w:trPr>
        <w:tc>
          <w:tcPr>
            <w:tcW w:w="1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CMO)</w:t>
            </w:r>
          </w:p>
        </w:tc>
        <w:tc>
          <w:tcPr>
            <w:tcW w:w="12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72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Darren Patti (Group</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USD414,000</w:t>
            </w: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65%</w:t>
            </w:r>
          </w:p>
        </w:tc>
        <w:tc>
          <w:tcPr>
            <w:tcW w:w="14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USD269,100</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100%</w:t>
            </w:r>
          </w:p>
        </w:tc>
        <w:tc>
          <w:tcPr>
            <w:tcW w:w="16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USD414,000</w:t>
            </w:r>
          </w:p>
        </w:tc>
        <w:tc>
          <w:tcPr>
            <w:tcW w:w="14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USD 1,117,800</w:t>
            </w:r>
          </w:p>
        </w:tc>
        <w:tc>
          <w:tcPr>
            <w:tcW w:w="0" w:type="dxa"/>
            <w:vAlign w:val="bottom"/>
          </w:tcPr>
          <w:p>
            <w:pPr>
              <w:spacing w:after="0"/>
              <w:rPr>
                <w:sz w:val="1"/>
                <w:szCs w:val="1"/>
                <w:color w:val="auto"/>
              </w:rPr>
            </w:pPr>
          </w:p>
        </w:tc>
      </w:tr>
      <w:tr>
        <w:trPr>
          <w:trHeight w:val="126"/>
        </w:trPr>
        <w:tc>
          <w:tcPr>
            <w:tcW w:w="1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COO)</w:t>
            </w:r>
          </w:p>
        </w:tc>
        <w:tc>
          <w:tcPr>
            <w:tcW w:w="12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80" w:hanging="170"/>
        <w:spacing w:after="0"/>
        <w:tabs>
          <w:tab w:leader="none" w:pos="180" w:val="left"/>
        </w:tabs>
        <w:numPr>
          <w:ilvl w:val="0"/>
          <w:numId w:val="1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TTR includes Total Fixed Remuneration (base salary plus statutory pension elements (see section 3.3)</w:t>
      </w:r>
    </w:p>
    <w:p>
      <w:pPr>
        <w:ind w:left="180" w:hanging="172"/>
        <w:spacing w:after="0" w:line="183" w:lineRule="auto"/>
        <w:tabs>
          <w:tab w:leader="none" w:pos="180" w:val="left"/>
        </w:tabs>
        <w:numPr>
          <w:ilvl w:val="0"/>
          <w:numId w:val="11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LTVR maximum opportunity is 150% of target (subject to achievement of a stretch financial performance condition).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Details of Remuneration for Fiscal Year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nature and amount of each element of the emoluments of our non-executive directors and executive officers are as follows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Post-</w:t>
            </w:r>
          </w:p>
        </w:tc>
        <w:tc>
          <w:tcPr>
            <w:tcW w:w="13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Salary &amp;</w:t>
            </w:r>
          </w:p>
        </w:tc>
        <w:tc>
          <w:tcPr>
            <w:tcW w:w="132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Leave</w:t>
            </w:r>
          </w:p>
        </w:tc>
        <w:tc>
          <w:tcPr>
            <w:tcW w:w="14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Employment /</w:t>
            </w:r>
          </w:p>
        </w:tc>
        <w:tc>
          <w:tcPr>
            <w:tcW w:w="13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13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1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2</w:t>
            </w:r>
          </w:p>
        </w:tc>
        <w:tc>
          <w:tcPr>
            <w:tcW w:w="0" w:type="dxa"/>
            <w:vAlign w:val="bottom"/>
          </w:tcPr>
          <w:p>
            <w:pPr>
              <w:spacing w:after="0"/>
              <w:rPr>
                <w:sz w:val="1"/>
                <w:szCs w:val="1"/>
                <w:color w:val="auto"/>
              </w:rPr>
            </w:pPr>
          </w:p>
        </w:tc>
      </w:tr>
      <w:tr>
        <w:trPr>
          <w:trHeight w:val="98"/>
        </w:trPr>
        <w:tc>
          <w:tcPr>
            <w:tcW w:w="316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Superannuation</w:t>
            </w:r>
          </w:p>
        </w:tc>
        <w:tc>
          <w:tcPr>
            <w:tcW w:w="13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Variable</w:t>
            </w:r>
          </w:p>
        </w:tc>
        <w:tc>
          <w:tcPr>
            <w:tcW w:w="13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Variable</w:t>
            </w: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Non-Executive Directors</w:t>
            </w:r>
          </w:p>
        </w:tc>
        <w:tc>
          <w:tcPr>
            <w:tcW w:w="134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fees</w:t>
            </w:r>
          </w:p>
        </w:tc>
        <w:tc>
          <w:tcPr>
            <w:tcW w:w="1320" w:type="dxa"/>
            <w:vAlign w:val="bottom"/>
            <w:tcBorders>
              <w:right w:val="single" w:sz="8" w:color="auto"/>
            </w:tcBorders>
            <w:vMerge w:val="restart"/>
          </w:tcPr>
          <w:p>
            <w:pPr>
              <w:jc w:val="right"/>
              <w:ind w:right="10"/>
              <w:spacing w:after="0" w:line="302" w:lineRule="exact"/>
              <w:rPr>
                <w:sz w:val="20"/>
                <w:szCs w:val="20"/>
                <w:color w:val="auto"/>
              </w:rPr>
            </w:pPr>
            <w:r>
              <w:rPr>
                <w:rFonts w:ascii="Times New Roman" w:cs="Times New Roman" w:eastAsia="Times New Roman" w:hAnsi="Times New Roman"/>
                <w:sz w:val="18"/>
                <w:szCs w:val="18"/>
                <w:b w:val="1"/>
                <w:bCs w:val="1"/>
                <w:color w:val="auto"/>
              </w:rPr>
              <w:t xml:space="preserve">Accruals </w:t>
            </w:r>
            <w:r>
              <w:rPr>
                <w:rFonts w:ascii="Times New Roman" w:cs="Times New Roman" w:eastAsia="Times New Roman" w:hAnsi="Times New Roman"/>
                <w:sz w:val="29"/>
                <w:szCs w:val="29"/>
                <w:b w:val="1"/>
                <w:bCs w:val="1"/>
                <w:color w:val="auto"/>
                <w:vertAlign w:val="superscript"/>
              </w:rPr>
              <w:t>1</w:t>
            </w:r>
          </w:p>
        </w:tc>
        <w:tc>
          <w:tcPr>
            <w:tcW w:w="146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160" w:type="dxa"/>
            <w:vAlign w:val="bottom"/>
            <w:tcBorders>
              <w:right w:val="single" w:sz="8" w:color="auto"/>
            </w:tcBorders>
            <w:vMerge w:val="continue"/>
          </w:tcPr>
          <w:p>
            <w:pPr>
              <w:spacing w:after="0"/>
              <w:rPr>
                <w:sz w:val="16"/>
                <w:szCs w:val="16"/>
                <w:color w:val="auto"/>
              </w:rPr>
            </w:pPr>
          </w:p>
        </w:tc>
        <w:tc>
          <w:tcPr>
            <w:tcW w:w="1340" w:type="dxa"/>
            <w:vAlign w:val="bottom"/>
            <w:tcBorders>
              <w:right w:val="single" w:sz="8" w:color="auto"/>
            </w:tcBorders>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Benefits</w:t>
            </w:r>
            <w:r>
              <w:rPr>
                <w:rFonts w:ascii="Times New Roman" w:cs="Times New Roman" w:eastAsia="Times New Roman" w:hAnsi="Times New Roman"/>
                <w:sz w:val="29"/>
                <w:szCs w:val="29"/>
                <w:b w:val="1"/>
                <w:bCs w:val="1"/>
                <w:color w:val="auto"/>
                <w:vertAlign w:val="superscript"/>
              </w:rPr>
              <w:t>1</w:t>
            </w:r>
          </w:p>
        </w:tc>
        <w:tc>
          <w:tcPr>
            <w:tcW w:w="13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Remuneration</w:t>
            </w:r>
          </w:p>
        </w:tc>
        <w:tc>
          <w:tcPr>
            <w:tcW w:w="132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Remuneration</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vMerge w:val="continue"/>
          </w:tcPr>
          <w:p>
            <w:pPr>
              <w:spacing w:after="0"/>
              <w:rPr>
                <w:sz w:val="17"/>
                <w:szCs w:val="17"/>
                <w:color w:val="auto"/>
              </w:rPr>
            </w:pPr>
          </w:p>
        </w:tc>
        <w:tc>
          <w:tcPr>
            <w:tcW w:w="1320" w:type="dxa"/>
            <w:vAlign w:val="bottom"/>
            <w:tcBorders>
              <w:right w:val="single" w:sz="8" w:color="auto"/>
            </w:tcBorders>
            <w:vMerge w:val="continue"/>
          </w:tcPr>
          <w:p>
            <w:pPr>
              <w:spacing w:after="0"/>
              <w:rPr>
                <w:sz w:val="17"/>
                <w:szCs w:val="17"/>
                <w:color w:val="auto"/>
              </w:rPr>
            </w:pPr>
          </w:p>
        </w:tc>
        <w:tc>
          <w:tcPr>
            <w:tcW w:w="1320" w:type="dxa"/>
            <w:vAlign w:val="bottom"/>
            <w:tcBorders>
              <w:right w:val="single" w:sz="8" w:color="auto"/>
            </w:tcBorders>
            <w:vMerge w:val="continue"/>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3160" w:type="dxa"/>
            <w:vAlign w:val="bottom"/>
            <w:tcBorders>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w:t>
            </w:r>
          </w:p>
        </w:tc>
        <w:tc>
          <w:tcPr>
            <w:tcW w:w="146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w:t>
            </w:r>
          </w:p>
        </w:tc>
        <w:tc>
          <w:tcPr>
            <w:tcW w:w="132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w:t>
            </w:r>
          </w:p>
        </w:tc>
        <w:tc>
          <w:tcPr>
            <w:tcW w:w="132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 Kevin McCann</w:t>
            </w: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224,721</w:t>
            </w:r>
          </w:p>
        </w:tc>
        <w:tc>
          <w:tcPr>
            <w:tcW w:w="13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25,280</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250,001</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Andreas Kluge</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104,920</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104,920</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Nelson</w:t>
            </w: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121,349</w:t>
            </w:r>
          </w:p>
        </w:tc>
        <w:tc>
          <w:tcPr>
            <w:tcW w:w="13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13,651</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135,000</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Tiffany Olson</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146,508</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30"/>
              <w:spacing w:after="0" w:line="243" w:lineRule="exact"/>
              <w:rPr>
                <w:sz w:val="20"/>
                <w:szCs w:val="20"/>
                <w:color w:val="auto"/>
              </w:rPr>
            </w:pPr>
            <w:r>
              <w:rPr>
                <w:rFonts w:ascii="Times New Roman" w:cs="Times New Roman" w:eastAsia="Times New Roman" w:hAnsi="Times New Roman"/>
                <w:sz w:val="17"/>
                <w:szCs w:val="17"/>
                <w:color w:val="auto"/>
              </w:rPr>
              <w:t>57,060</w:t>
            </w:r>
            <w:r>
              <w:rPr>
                <w:rFonts w:ascii="Times New Roman" w:cs="Times New Roman" w:eastAsia="Times New Roman" w:hAnsi="Times New Roman"/>
                <w:sz w:val="28"/>
                <w:szCs w:val="28"/>
                <w:color w:val="auto"/>
                <w:vertAlign w:val="superscript"/>
              </w:rPr>
              <w:t>2</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203,568</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Jann Skinner</w:t>
            </w: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139,327</w:t>
            </w:r>
          </w:p>
        </w:tc>
        <w:tc>
          <w:tcPr>
            <w:tcW w:w="13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15,673</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155,000</w:t>
            </w:r>
          </w:p>
        </w:tc>
        <w:tc>
          <w:tcPr>
            <w:tcW w:w="0" w:type="dxa"/>
            <w:vAlign w:val="bottom"/>
          </w:tcPr>
          <w:p>
            <w:pPr>
              <w:spacing w:after="0"/>
              <w:rPr>
                <w:sz w:val="1"/>
                <w:szCs w:val="1"/>
                <w:color w:val="auto"/>
              </w:rPr>
            </w:pPr>
          </w:p>
        </w:tc>
      </w:tr>
      <w:tr>
        <w:trPr>
          <w:trHeight w:val="117"/>
        </w:trPr>
        <w:tc>
          <w:tcPr>
            <w:tcW w:w="31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14" w:right="339" w:bottom="0" w:gutter="0" w:footer="0" w:header="0"/>
          <w:type w:val="continuous"/>
        </w:sectPr>
      </w:pPr>
    </w:p>
    <w:bookmarkStart w:id="208" w:name="page209"/>
    <w:bookmarkEnd w:id="2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34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50"/>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Behrenbruch</w:t>
            </w: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606,767</w:t>
            </w:r>
          </w:p>
        </w:tc>
        <w:tc>
          <w:tcPr>
            <w:tcW w:w="13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5,041</w:t>
            </w:r>
          </w:p>
        </w:tc>
        <w:tc>
          <w:tcPr>
            <w:tcW w:w="14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28,750</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236,517</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528,443</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1,405,518</w:t>
            </w:r>
          </w:p>
        </w:tc>
      </w:tr>
      <w:tr>
        <w:trPr>
          <w:trHeight w:val="250"/>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Darren Smith</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531,984</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39,948</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28,650</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101,210</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517,594</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1,219,386</w:t>
            </w:r>
          </w:p>
        </w:tc>
      </w:tr>
      <w:tr>
        <w:trPr>
          <w:trHeight w:val="250"/>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Darren Patti</w:t>
            </w: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437,246</w:t>
            </w:r>
          </w:p>
        </w:tc>
        <w:tc>
          <w:tcPr>
            <w:tcW w:w="13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30,775</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104,811</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357,903</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930,735</w:t>
            </w:r>
          </w:p>
        </w:tc>
      </w:tr>
      <w:tr>
        <w:trPr>
          <w:trHeight w:val="250"/>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Cade</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516,409</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32,817</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28,750</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98,398</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392,829</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1,069,203</w:t>
            </w:r>
          </w:p>
        </w:tc>
      </w:tr>
      <w:tr>
        <w:trPr>
          <w:trHeight w:val="250"/>
        </w:trPr>
        <w:tc>
          <w:tcPr>
            <w:tcW w:w="3160" w:type="dxa"/>
            <w:vAlign w:val="bottom"/>
            <w:tcBorders>
              <w:bottom w:val="single" w:sz="8" w:color="auto"/>
              <w:right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Richard Valeix </w:t>
            </w:r>
            <w:r>
              <w:rPr>
                <w:rFonts w:ascii="Times New Roman" w:cs="Times New Roman" w:eastAsia="Times New Roman" w:hAnsi="Times New Roman"/>
                <w:sz w:val="28"/>
                <w:szCs w:val="28"/>
                <w:color w:val="auto"/>
                <w:vertAlign w:val="superscript"/>
              </w:rPr>
              <w:t>3</w:t>
            </w: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369,659</w:t>
            </w:r>
          </w:p>
        </w:tc>
        <w:tc>
          <w:tcPr>
            <w:tcW w:w="13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14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40,383</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82,505</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519,432</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1,012,218</w:t>
            </w: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3,198,890</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78,045</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211,912</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623,414</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2,373,261</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6,485,549</w:t>
            </w:r>
          </w:p>
        </w:tc>
      </w:tr>
    </w:tbl>
    <w:p>
      <w:pPr>
        <w:spacing w:after="0" w:line="198" w:lineRule="exact"/>
        <w:rPr>
          <w:sz w:val="20"/>
          <w:szCs w:val="20"/>
          <w:color w:val="auto"/>
        </w:rPr>
      </w:pPr>
    </w:p>
    <w:p>
      <w:pPr>
        <w:ind w:left="500" w:hanging="492"/>
        <w:spacing w:after="0"/>
        <w:tabs>
          <w:tab w:leader="none" w:pos="5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Remuneration includes movement in annual leave provisions during the year.</w:t>
      </w:r>
    </w:p>
    <w:p>
      <w:pPr>
        <w:spacing w:after="0" w:line="27" w:lineRule="exact"/>
        <w:rPr>
          <w:rFonts w:ascii="Times New Roman" w:cs="Times New Roman" w:eastAsia="Times New Roman" w:hAnsi="Times New Roman"/>
          <w:sz w:val="18"/>
          <w:szCs w:val="18"/>
          <w:color w:val="auto"/>
        </w:rPr>
      </w:pPr>
    </w:p>
    <w:p>
      <w:pPr>
        <w:ind w:left="500" w:right="280" w:hanging="492"/>
        <w:spacing w:after="0" w:line="250" w:lineRule="auto"/>
        <w:tabs>
          <w:tab w:leader="none" w:pos="5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shareholder approval, premium-priced unlisted share options were issued to Ms. Olson in 2022. The amounts recorded for share-based payments (options) for non-executive directors reflect the fair value of the options expensed each year over the life of the option.</w:t>
      </w:r>
    </w:p>
    <w:p>
      <w:pPr>
        <w:ind w:left="500" w:hanging="492"/>
        <w:spacing w:after="0" w:line="260" w:lineRule="auto"/>
        <w:tabs>
          <w:tab w:leader="none" w:pos="5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Valeix transitioned to the non-executive officer role of CEO - Therapeutics effective August 19, 2024. His remuneration is based on his period as executive officer only.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Awards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Equity awards for Telix’s executive officers and employees are provided through the Equity Incentive Plan, or EIP. Participation is at the discretion of the board of directors and future vesting is in accordance with EIP terms. The structure of equity awards is reviewed by the PCNRC and Telix’s board of directors to ensure it meets good corporate practice the size, nature and company lifecycle of Telix.</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describes the material terms of the EIP. “Listing rules” as used in the plan description refers to the official listing rules of the ASX and any other exchange on which we are listed.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227"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purpose of the EIP is to align employees’ and directors’ interests with shareholders’ interests by providing them with equity as part of their remuneration arrangements. This is designed to enable us to attract and retain top-level employees and directors.</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EIP enables our board of directors to award different types of equity instruments tailored to specific applications. These can include rights to acquire shares contingent on meeting specified performance metrics, options to acquire shares on payment of an exercise price and rights and/or options that are contingent on remaining in employment, among others. We offer three types of securities under the EIP, including share options, share rights (including share appreciation rights) and restricted shares, which we refer to as Incentive Securities.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Eligibility</w:t>
            </w:r>
          </w:p>
        </w:tc>
        <w:tc>
          <w:tcPr>
            <w:tcW w:w="1680" w:type="dxa"/>
            <w:vAlign w:val="bottom"/>
            <w:tcBorders>
              <w:right w:val="single" w:sz="8" w:color="auto"/>
            </w:tcBorders>
            <w:shd w:val="clear" w:color="auto" w:fill="CCEEFF"/>
          </w:tcPr>
          <w:p>
            <w:pPr>
              <w:spacing w:after="0"/>
              <w:rPr>
                <w:sz w:val="17"/>
                <w:szCs w:val="17"/>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board of directors determines the full-time or part-time employees (including a director employed in an</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capacity), non-executive directors, casual employees or contractors or any other eligible persons</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(determined at the board’s discretion) that may participate in the EIP, collectively referred to as Eligible</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Employees. Casual and contractor staff must be employed on at least a 40% Full Time Equivalent (FTE) to</w:t>
            </w:r>
          </w:p>
        </w:tc>
      </w:tr>
      <w:tr>
        <w:trPr>
          <w:trHeight w:val="241"/>
        </w:trPr>
        <w:tc>
          <w:tcPr>
            <w:tcW w:w="1600" w:type="dxa"/>
            <w:vAlign w:val="bottom"/>
            <w:tcBorders>
              <w:bottom w:val="single" w:sz="8" w:color="auto"/>
              <w:right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79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participate in line with the EIP rules.</w:t>
            </w:r>
          </w:p>
        </w:tc>
      </w:tr>
      <w:tr>
        <w:trPr>
          <w:trHeight w:val="198"/>
        </w:trPr>
        <w:tc>
          <w:tcPr>
            <w:tcW w:w="160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Administration of the</w:t>
            </w:r>
          </w:p>
        </w:tc>
        <w:tc>
          <w:tcPr>
            <w:tcW w:w="1680" w:type="dxa"/>
            <w:vAlign w:val="bottom"/>
            <w:tcBorders>
              <w:right w:val="single" w:sz="8" w:color="auto"/>
            </w:tcBorders>
          </w:tcPr>
          <w:p>
            <w:pPr>
              <w:spacing w:after="0"/>
              <w:rPr>
                <w:sz w:val="17"/>
                <w:szCs w:val="17"/>
                <w:color w:val="auto"/>
              </w:rPr>
            </w:pPr>
          </w:p>
        </w:tc>
        <w:tc>
          <w:tcPr>
            <w:tcW w:w="79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The EIP is administered by our board of directors, who have the power to determine the appropriate</w:t>
            </w:r>
          </w:p>
        </w:tc>
      </w:tr>
      <w:tr>
        <w:trPr>
          <w:trHeight w:val="241"/>
        </w:trPr>
        <w:tc>
          <w:tcPr>
            <w:tcW w:w="1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EIP</w:t>
            </w:r>
          </w:p>
        </w:tc>
        <w:tc>
          <w:tcPr>
            <w:tcW w:w="168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procedures for the EIP.</w:t>
            </w:r>
          </w:p>
        </w:tc>
      </w:tr>
      <w:tr>
        <w:trPr>
          <w:trHeight w:val="198"/>
        </w:trPr>
        <w:tc>
          <w:tcPr>
            <w:tcW w:w="160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Invitation</w:t>
            </w:r>
          </w:p>
        </w:tc>
        <w:tc>
          <w:tcPr>
            <w:tcW w:w="1680" w:type="dxa"/>
            <w:vAlign w:val="bottom"/>
            <w:tcBorders>
              <w:right w:val="single" w:sz="8" w:color="auto"/>
            </w:tcBorders>
            <w:shd w:val="clear" w:color="auto" w:fill="CCEEFF"/>
          </w:tcPr>
          <w:p>
            <w:pPr>
              <w:spacing w:after="0"/>
              <w:rPr>
                <w:sz w:val="17"/>
                <w:szCs w:val="17"/>
                <w:color w:val="auto"/>
              </w:rPr>
            </w:pPr>
          </w:p>
        </w:tc>
        <w:tc>
          <w:tcPr>
            <w:tcW w:w="79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The board of directors may make an invitation to an Eligible Employee to apply for Incentive Securities on</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such terms and conditions as the board of directors determines from time to time, including with relation to</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Incentive Securities</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(i)   </w:t>
            </w:r>
            <w:r>
              <w:rPr>
                <w:rFonts w:ascii="Times New Roman" w:cs="Times New Roman" w:eastAsia="Times New Roman" w:hAnsi="Times New Roman"/>
                <w:sz w:val="18"/>
                <w:szCs w:val="18"/>
                <w:color w:val="000000"/>
              </w:rPr>
              <w:t>the type and number and/or the method by which the number will be calculated;</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(ii)  </w:t>
            </w:r>
            <w:r>
              <w:rPr>
                <w:rFonts w:ascii="Times New Roman" w:cs="Times New Roman" w:eastAsia="Times New Roman" w:hAnsi="Times New Roman"/>
                <w:sz w:val="18"/>
                <w:szCs w:val="18"/>
                <w:color w:val="000000"/>
              </w:rPr>
              <w:t>the amount (if any) payable for the grant;</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(iii)  </w:t>
            </w:r>
            <w:r>
              <w:rPr>
                <w:rFonts w:ascii="Times New Roman" w:cs="Times New Roman" w:eastAsia="Times New Roman" w:hAnsi="Times New Roman"/>
                <w:sz w:val="18"/>
                <w:szCs w:val="18"/>
                <w:color w:val="000000"/>
              </w:rPr>
              <w:t>any vesting conditions or other conditions;</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(iv)  </w:t>
            </w:r>
            <w:r>
              <w:rPr>
                <w:rFonts w:ascii="Times New Roman" w:cs="Times New Roman" w:eastAsia="Times New Roman" w:hAnsi="Times New Roman"/>
                <w:sz w:val="18"/>
                <w:szCs w:val="18"/>
                <w:color w:val="000000"/>
              </w:rPr>
              <w:t>the procedure for exercising an option or right following vesting;</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(v)   </w:t>
            </w:r>
            <w:r>
              <w:rPr>
                <w:rFonts w:ascii="Times New Roman" w:cs="Times New Roman" w:eastAsia="Times New Roman" w:hAnsi="Times New Roman"/>
                <w:sz w:val="18"/>
                <w:szCs w:val="18"/>
                <w:color w:val="000000"/>
              </w:rPr>
              <w:t>the determination the board of directors has made at its discretion that vesting of share rights and/or</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of options (as applicable) will be satisfied through an allocation of shares or by cash payment;</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(vi)  </w:t>
            </w:r>
            <w:r>
              <w:rPr>
                <w:rFonts w:ascii="Times New Roman" w:cs="Times New Roman" w:eastAsia="Times New Roman" w:hAnsi="Times New Roman"/>
                <w:sz w:val="18"/>
                <w:szCs w:val="18"/>
                <w:color w:val="000000"/>
              </w:rPr>
              <w:t>the circumstances in which rights and/or options will lapse, shares allocated under the EIP may be</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 or an EIP participant’s entitlement may be reduced/extinguished;</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(vii)  </w:t>
            </w:r>
            <w:r>
              <w:rPr>
                <w:rFonts w:ascii="Times New Roman" w:cs="Times New Roman" w:eastAsia="Times New Roman" w:hAnsi="Times New Roman"/>
                <w:sz w:val="18"/>
                <w:szCs w:val="18"/>
                <w:color w:val="000000"/>
              </w:rPr>
              <w:t>how the securities may be treated in the event that an Eligible Employee ceases employment;</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(viii) </w:t>
            </w:r>
            <w:r>
              <w:rPr>
                <w:rFonts w:ascii="Times New Roman" w:cs="Times New Roman" w:eastAsia="Times New Roman" w:hAnsi="Times New Roman"/>
                <w:sz w:val="18"/>
                <w:szCs w:val="18"/>
                <w:color w:val="000000"/>
              </w:rPr>
              <w:t>any restrictions on dealing shares; and</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(ix)  </w:t>
            </w:r>
            <w:r>
              <w:rPr>
                <w:rFonts w:ascii="Times New Roman" w:cs="Times New Roman" w:eastAsia="Times New Roman" w:hAnsi="Times New Roman"/>
                <w:sz w:val="18"/>
                <w:szCs w:val="18"/>
                <w:color w:val="000000"/>
              </w:rPr>
              <w:t>any other terms and conditions that, in the opinion of our board of directors, are fair and reasonable</w:t>
            </w:r>
          </w:p>
        </w:tc>
      </w:tr>
      <w:tr>
        <w:trPr>
          <w:trHeight w:val="241"/>
        </w:trPr>
        <w:tc>
          <w:tcPr>
            <w:tcW w:w="1600" w:type="dxa"/>
            <w:vAlign w:val="bottom"/>
            <w:tcBorders>
              <w:bottom w:val="single" w:sz="8" w:color="auto"/>
              <w:right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79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not inconsistent with the EIP, and any other information that is required by applicable law.</w:t>
            </w:r>
          </w:p>
        </w:tc>
      </w:tr>
      <w:tr>
        <w:trPr>
          <w:trHeight w:val="198"/>
        </w:trPr>
        <w:tc>
          <w:tcPr>
            <w:tcW w:w="160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Grant price</w:t>
            </w:r>
          </w:p>
        </w:tc>
        <w:tc>
          <w:tcPr>
            <w:tcW w:w="1680" w:type="dxa"/>
            <w:vAlign w:val="bottom"/>
            <w:tcBorders>
              <w:right w:val="single" w:sz="8" w:color="auto"/>
            </w:tcBorders>
          </w:tcPr>
          <w:p>
            <w:pPr>
              <w:spacing w:after="0"/>
              <w:rPr>
                <w:sz w:val="17"/>
                <w:szCs w:val="17"/>
                <w:color w:val="auto"/>
              </w:rPr>
            </w:pPr>
          </w:p>
        </w:tc>
        <w:tc>
          <w:tcPr>
            <w:tcW w:w="79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Unless the board of directors determines otherwise, no payment is required for the grant of Incentive</w:t>
            </w:r>
          </w:p>
        </w:tc>
      </w:tr>
      <w:tr>
        <w:trPr>
          <w:trHeight w:val="241"/>
        </w:trPr>
        <w:tc>
          <w:tcPr>
            <w:tcW w:w="16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Securities under the EIP.</w:t>
            </w:r>
          </w:p>
        </w:tc>
      </w:tr>
      <w:tr>
        <w:trPr>
          <w:trHeight w:val="198"/>
        </w:trPr>
        <w:tc>
          <w:tcPr>
            <w:tcW w:w="160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 on number of</w:t>
            </w:r>
          </w:p>
        </w:tc>
        <w:tc>
          <w:tcPr>
            <w:tcW w:w="1680" w:type="dxa"/>
            <w:vAlign w:val="bottom"/>
            <w:tcBorders>
              <w:right w:val="single" w:sz="8" w:color="auto"/>
            </w:tcBorders>
            <w:shd w:val="clear" w:color="auto" w:fill="CCEEFF"/>
          </w:tcPr>
          <w:p>
            <w:pPr>
              <w:spacing w:after="0"/>
              <w:rPr>
                <w:sz w:val="17"/>
                <w:szCs w:val="17"/>
                <w:color w:val="auto"/>
              </w:rPr>
            </w:pPr>
          </w:p>
        </w:tc>
        <w:tc>
          <w:tcPr>
            <w:tcW w:w="79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The number of equity securities offered to participants under the EIP must not, when aggregated with the</w:t>
            </w:r>
          </w:p>
        </w:tc>
      </w:tr>
      <w:tr>
        <w:trPr>
          <w:trHeight w:val="216"/>
        </w:trPr>
        <w:tc>
          <w:tcPr>
            <w:tcW w:w="16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to be</w:t>
            </w: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number of equity securities issued over the prior three years under (i) the EIP; (ii) any other employee share</w:t>
            </w:r>
          </w:p>
        </w:tc>
      </w:tr>
      <w:tr>
        <w:trPr>
          <w:trHeight w:val="216"/>
        </w:trPr>
        <w:tc>
          <w:tcPr>
            <w:tcW w:w="16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under the EIP</w:t>
            </w: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scheme covered by the ASIC Instrument 2022/1021; or</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(iii) an ASIC-exempt arrangement of a similar kind to an employee incentive scheme, exceed 32,405,821</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securities, as approved by shareholders at an annual general meeting of shareholders on May 22,</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2024. Our board of directors retains the discretion to adjust the cap on the number of the shares to be issued</w:t>
            </w:r>
          </w:p>
        </w:tc>
      </w:tr>
      <w:tr>
        <w:trPr>
          <w:trHeight w:val="241"/>
        </w:trPr>
        <w:tc>
          <w:tcPr>
            <w:tcW w:w="1600" w:type="dxa"/>
            <w:vAlign w:val="bottom"/>
            <w:tcBorders>
              <w:bottom w:val="single" w:sz="8" w:color="auto"/>
              <w:right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79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under the EIP, so long as the adjustment complies with applicable law.</w:t>
            </w:r>
          </w:p>
        </w:tc>
      </w:tr>
      <w:tr>
        <w:trPr>
          <w:trHeight w:val="198"/>
        </w:trPr>
        <w:tc>
          <w:tcPr>
            <w:tcW w:w="160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Rights attaching to</w:t>
            </w:r>
          </w:p>
        </w:tc>
        <w:tc>
          <w:tcPr>
            <w:tcW w:w="1680" w:type="dxa"/>
            <w:vAlign w:val="bottom"/>
            <w:tcBorders>
              <w:right w:val="single" w:sz="8" w:color="auto"/>
            </w:tcBorders>
          </w:tcPr>
          <w:p>
            <w:pPr>
              <w:spacing w:after="0"/>
              <w:rPr>
                <w:sz w:val="17"/>
                <w:szCs w:val="17"/>
                <w:color w:val="auto"/>
              </w:rPr>
            </w:pPr>
          </w:p>
        </w:tc>
        <w:tc>
          <w:tcPr>
            <w:tcW w:w="79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Shares issued under the EIP rank equally with other fully paid ordinary shares at the time of issue,</w:t>
            </w:r>
          </w:p>
        </w:tc>
      </w:tr>
      <w:tr>
        <w:trPr>
          <w:trHeight w:val="216"/>
        </w:trPr>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 (including</w:t>
            </w: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except in relation to any rights attaching to such shares by reference to a record date prior to the date of their</w:t>
            </w:r>
          </w:p>
        </w:tc>
      </w:tr>
      <w:tr>
        <w:trPr>
          <w:trHeight w:val="234"/>
        </w:trPr>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1680" w:type="dxa"/>
            <w:vAlign w:val="bottom"/>
            <w:tcBorders>
              <w:right w:val="single" w:sz="8" w:color="auto"/>
            </w:tcBorders>
          </w:tcPr>
          <w:p>
            <w:pPr>
              <w:spacing w:after="0"/>
              <w:rPr>
                <w:sz w:val="20"/>
                <w:szCs w:val="20"/>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issue.</w:t>
            </w:r>
          </w:p>
        </w:tc>
      </w:tr>
      <w:tr>
        <w:trPr>
          <w:trHeight w:val="414"/>
        </w:trPr>
        <w:tc>
          <w:tcPr>
            <w:tcW w:w="160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shares granted under the EIP are entitled to participate in all dividends and other</w:t>
            </w:r>
          </w:p>
        </w:tc>
      </w:tr>
      <w:tr>
        <w:trPr>
          <w:trHeight w:val="234"/>
        </w:trPr>
        <w:tc>
          <w:tcPr>
            <w:tcW w:w="16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distributions or benefits payable to participants in respect of their shares.</w:t>
            </w:r>
          </w:p>
        </w:tc>
      </w:tr>
      <w:tr>
        <w:trPr>
          <w:trHeight w:val="414"/>
        </w:trPr>
        <w:tc>
          <w:tcPr>
            <w:tcW w:w="160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shares granted under the EIP are entitled to exercise all voting rights attached to</w:t>
            </w:r>
          </w:p>
        </w:tc>
      </w:tr>
      <w:tr>
        <w:trPr>
          <w:trHeight w:val="241"/>
        </w:trPr>
        <w:tc>
          <w:tcPr>
            <w:tcW w:w="16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their shares, either generally or in a particular case, in accordance with our Constitution.</w:t>
            </w:r>
          </w:p>
        </w:tc>
      </w:tr>
      <w:tr>
        <w:trPr>
          <w:trHeight w:val="570"/>
        </w:trPr>
        <w:tc>
          <w:tcPr>
            <w:tcW w:w="1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960" w:type="dxa"/>
            <w:vAlign w:val="bottom"/>
          </w:tcPr>
          <w:p>
            <w:pPr>
              <w:ind w:left="2240"/>
              <w:spacing w:after="0"/>
              <w:rPr>
                <w:sz w:val="20"/>
                <w:szCs w:val="20"/>
                <w:color w:val="auto"/>
              </w:rPr>
            </w:pPr>
            <w:r>
              <w:rPr>
                <w:rFonts w:ascii="Times New Roman" w:cs="Times New Roman" w:eastAsia="Times New Roman" w:hAnsi="Times New Roman"/>
                <w:sz w:val="14"/>
                <w:szCs w:val="14"/>
                <w:color w:val="auto"/>
              </w:rPr>
              <w:t>202</w:t>
            </w:r>
          </w:p>
        </w:tc>
      </w:tr>
      <w:tr>
        <w:trPr>
          <w:trHeight w:val="44"/>
        </w:trPr>
        <w:tc>
          <w:tcPr>
            <w:tcW w:w="1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79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600" w:type="dxa"/>
            <w:vAlign w:val="bottom"/>
            <w:tcBorders>
              <w:top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680" w:type="dxa"/>
            <w:vAlign w:val="bottom"/>
            <w:tcBorders>
              <w:top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price</w:t>
            </w:r>
          </w:p>
        </w:tc>
        <w:tc>
          <w:tcPr>
            <w:tcW w:w="79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When the board of directors makes an invitation to Eligible Employees to participate in the grant of share</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options, the board of directors shall advise each Eligible Employee in the offer documentation the procedure</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 exercising share options, including any exercise price that will become payable with respect to the share</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options exercised. Subject to ASX listing rules, prior to the exercise of share options, the board of directors</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will retain the power to adjust the relevant exercise price in order to minimize or eliminate any material</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advantage or disadvantage to a participant resulting from a corporate action by, or capital reconstruction in</w:t>
            </w:r>
          </w:p>
        </w:tc>
      </w:tr>
      <w:tr>
        <w:trPr>
          <w:trHeight w:val="241"/>
        </w:trPr>
        <w:tc>
          <w:tcPr>
            <w:tcW w:w="1600" w:type="dxa"/>
            <w:vAlign w:val="bottom"/>
            <w:tcBorders>
              <w:bottom w:val="single" w:sz="8" w:color="auto"/>
              <w:right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79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relation to, the Company.</w:t>
            </w:r>
          </w:p>
        </w:tc>
      </w:tr>
      <w:tr>
        <w:trPr>
          <w:trHeight w:val="198"/>
        </w:trPr>
        <w:tc>
          <w:tcPr>
            <w:tcW w:w="16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Exercise period</w:t>
            </w:r>
          </w:p>
        </w:tc>
        <w:tc>
          <w:tcPr>
            <w:tcW w:w="79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w w:val="99"/>
              </w:rPr>
              <w:t>Share options will vest and become exercisable when all vesting conditions and any other conditions advised</w:t>
            </w:r>
          </w:p>
        </w:tc>
      </w:tr>
      <w:tr>
        <w:trPr>
          <w:trHeight w:val="216"/>
        </w:trPr>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the participant by the board of directors have been tested and satisfied (or otherwise waived by the board</w:t>
            </w:r>
          </w:p>
        </w:tc>
      </w:tr>
      <w:tr>
        <w:trPr>
          <w:trHeight w:val="216"/>
        </w:trPr>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directors). If the vesting conditions and all other relevant conditions are satisfied during a period in which</w:t>
            </w:r>
          </w:p>
        </w:tc>
      </w:tr>
      <w:tr>
        <w:trPr>
          <w:trHeight w:val="216"/>
        </w:trPr>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participant is prohibited from dealing in our securities or shares, the board of directors may determine</w:t>
            </w:r>
          </w:p>
        </w:tc>
      </w:tr>
      <w:tr>
        <w:trPr>
          <w:trHeight w:val="216"/>
        </w:trPr>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that the vesting of the options held by the affected participant will be delayed until such dealings are</w:t>
            </w:r>
          </w:p>
        </w:tc>
      </w:tr>
      <w:tr>
        <w:trPr>
          <w:trHeight w:val="241"/>
        </w:trPr>
        <w:tc>
          <w:tcPr>
            <w:tcW w:w="16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permitted.</w:t>
            </w:r>
          </w:p>
        </w:tc>
      </w:tr>
      <w:tr>
        <w:trPr>
          <w:trHeight w:val="198"/>
        </w:trPr>
        <w:tc>
          <w:tcPr>
            <w:tcW w:w="1600" w:type="dxa"/>
            <w:vAlign w:val="bottom"/>
            <w:tcBorders>
              <w:right w:val="single" w:sz="8" w:color="auto"/>
            </w:tcBorders>
            <w:shd w:val="clear" w:color="auto" w:fill="CCEEFF"/>
          </w:tcPr>
          <w:p>
            <w:pPr>
              <w:spacing w:after="0"/>
              <w:rPr>
                <w:sz w:val="17"/>
                <w:szCs w:val="17"/>
                <w:color w:val="auto"/>
              </w:rPr>
            </w:pPr>
          </w:p>
        </w:tc>
        <w:tc>
          <w:tcPr>
            <w:tcW w:w="1680" w:type="dxa"/>
            <w:vAlign w:val="bottom"/>
            <w:tcBorders>
              <w:right w:val="single" w:sz="8" w:color="auto"/>
            </w:tcBorders>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Lapse of share</w:t>
            </w:r>
          </w:p>
        </w:tc>
        <w:tc>
          <w:tcPr>
            <w:tcW w:w="79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Share options will lapse upon the earliest to occur of:</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options</w:t>
            </w: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(i)  </w:t>
            </w:r>
            <w:r>
              <w:rPr>
                <w:rFonts w:ascii="Times New Roman" w:cs="Times New Roman" w:eastAsia="Times New Roman" w:hAnsi="Times New Roman"/>
                <w:sz w:val="18"/>
                <w:szCs w:val="18"/>
                <w:color w:val="000000"/>
              </w:rPr>
              <w:t>ten years after the date on which the options were allocated to the participant, or any other date</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nominated as the expiry date of the offer;</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(ii)  </w:t>
            </w:r>
            <w:r>
              <w:rPr>
                <w:rFonts w:ascii="Times New Roman" w:cs="Times New Roman" w:eastAsia="Times New Roman" w:hAnsi="Times New Roman"/>
                <w:sz w:val="18"/>
                <w:szCs w:val="18"/>
                <w:color w:val="000000"/>
              </w:rPr>
              <w:t>the option lapsing in accordance with a provision of the EIP;</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(iii) </w:t>
            </w:r>
            <w:r>
              <w:rPr>
                <w:rFonts w:ascii="Times New Roman" w:cs="Times New Roman" w:eastAsia="Times New Roman" w:hAnsi="Times New Roman"/>
                <w:sz w:val="18"/>
                <w:szCs w:val="18"/>
                <w:color w:val="000000"/>
              </w:rPr>
              <w:t>failure to meet a vesting condition or any other applicable condition within the vesting period; or</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(iv)  </w:t>
            </w:r>
            <w:r>
              <w:rPr>
                <w:rFonts w:ascii="Times New Roman" w:cs="Times New Roman" w:eastAsia="Times New Roman" w:hAnsi="Times New Roman"/>
                <w:sz w:val="18"/>
                <w:szCs w:val="18"/>
                <w:color w:val="000000"/>
              </w:rPr>
              <w:t>our receipt of a written notice from the participant that the participant has elected to surrender the</w:t>
            </w:r>
          </w:p>
        </w:tc>
      </w:tr>
      <w:tr>
        <w:trPr>
          <w:trHeight w:val="241"/>
        </w:trPr>
        <w:tc>
          <w:tcPr>
            <w:tcW w:w="1600" w:type="dxa"/>
            <w:vAlign w:val="bottom"/>
            <w:tcBorders>
              <w:bottom w:val="single" w:sz="8" w:color="auto"/>
              <w:right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79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w:t>
            </w:r>
          </w:p>
        </w:tc>
      </w:tr>
      <w:tr>
        <w:trPr>
          <w:trHeight w:val="198"/>
        </w:trPr>
        <w:tc>
          <w:tcPr>
            <w:tcW w:w="16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Shares issued</w:t>
            </w:r>
          </w:p>
        </w:tc>
        <w:tc>
          <w:tcPr>
            <w:tcW w:w="79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Upon the exercise of a share option, we will issue the number of fully paid ordinary shares allocatable to the</w:t>
            </w:r>
          </w:p>
        </w:tc>
      </w:tr>
      <w:tr>
        <w:trPr>
          <w:trHeight w:val="216"/>
        </w:trPr>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options that have been exercised, ranking equally with, and having the same rights and entitlements as,</w:t>
            </w:r>
          </w:p>
        </w:tc>
      </w:tr>
      <w:tr>
        <w:trPr>
          <w:trHeight w:val="216"/>
        </w:trPr>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other ordinary shares on issue at the date of allotment of the share (other than rights and entitlements accrued</w:t>
            </w:r>
          </w:p>
        </w:tc>
      </w:tr>
      <w:tr>
        <w:trPr>
          <w:trHeight w:val="216"/>
        </w:trPr>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prior to the date of allotment of the share). Notwithstanding, the board of directors may determine that the</w:t>
            </w:r>
          </w:p>
        </w:tc>
      </w:tr>
      <w:tr>
        <w:trPr>
          <w:trHeight w:val="241"/>
        </w:trPr>
        <w:tc>
          <w:tcPr>
            <w:tcW w:w="16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exercise of an option will be satisfied in part or in whole by a cash payment in lieu of an allocation of shares.</w:t>
            </w:r>
          </w:p>
        </w:tc>
      </w:tr>
      <w:tr>
        <w:trPr>
          <w:trHeight w:val="198"/>
        </w:trPr>
        <w:tc>
          <w:tcPr>
            <w:tcW w:w="1600" w:type="dxa"/>
            <w:vAlign w:val="bottom"/>
            <w:tcBorders>
              <w:right w:val="single" w:sz="8" w:color="auto"/>
            </w:tcBorders>
            <w:shd w:val="clear" w:color="auto" w:fill="CCEEFF"/>
          </w:tcPr>
          <w:p>
            <w:pPr>
              <w:spacing w:after="0"/>
              <w:rPr>
                <w:sz w:val="17"/>
                <w:szCs w:val="17"/>
                <w:color w:val="auto"/>
              </w:rPr>
            </w:pPr>
          </w:p>
        </w:tc>
        <w:tc>
          <w:tcPr>
            <w:tcW w:w="1680" w:type="dxa"/>
            <w:vAlign w:val="bottom"/>
            <w:tcBorders>
              <w:right w:val="single" w:sz="8" w:color="auto"/>
            </w:tcBorders>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Restrictions on</w:t>
            </w:r>
          </w:p>
        </w:tc>
        <w:tc>
          <w:tcPr>
            <w:tcW w:w="79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In the case of options held by/on behalf of a participant who is a director, vested options must be satisfied by</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transfer</w:t>
            </w: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 that have been purchased on market, unless</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 share options</w:t>
            </w: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(i) </w:t>
            </w:r>
            <w:r>
              <w:rPr>
                <w:rFonts w:ascii="Times New Roman" w:cs="Times New Roman" w:eastAsia="Times New Roman" w:hAnsi="Times New Roman"/>
                <w:sz w:val="18"/>
                <w:szCs w:val="18"/>
                <w:color w:val="000000"/>
              </w:rPr>
              <w:t>no shareholder approval is required under the listing rules in respect of the director’s participation in the</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EIP; or</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(ii) </w:t>
            </w:r>
            <w:r>
              <w:rPr>
                <w:rFonts w:ascii="Times New Roman" w:cs="Times New Roman" w:eastAsia="Times New Roman" w:hAnsi="Times New Roman"/>
                <w:sz w:val="18"/>
                <w:szCs w:val="18"/>
                <w:color w:val="000000"/>
              </w:rPr>
              <w:t>shareholder approval has been obtained for the director’s participation in the EIP to the extent required</w:t>
            </w:r>
          </w:p>
        </w:tc>
      </w:tr>
      <w:tr>
        <w:trPr>
          <w:trHeight w:val="241"/>
        </w:trPr>
        <w:tc>
          <w:tcPr>
            <w:tcW w:w="1600" w:type="dxa"/>
            <w:vAlign w:val="bottom"/>
            <w:tcBorders>
              <w:bottom w:val="single" w:sz="8" w:color="auto"/>
              <w:right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79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under the listing rules.</w:t>
            </w:r>
          </w:p>
        </w:tc>
      </w:tr>
      <w:tr>
        <w:trPr>
          <w:trHeight w:val="223"/>
        </w:trPr>
        <w:tc>
          <w:tcPr>
            <w:tcW w:w="1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 Rights</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Exercise price</w:t>
            </w:r>
          </w:p>
        </w:tc>
        <w:tc>
          <w:tcPr>
            <w:tcW w:w="7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 amount is payable with respect to share rights upon vesting and exercise.</w:t>
            </w:r>
          </w:p>
        </w:tc>
      </w:tr>
      <w:tr>
        <w:trPr>
          <w:trHeight w:val="198"/>
        </w:trPr>
        <w:tc>
          <w:tcPr>
            <w:tcW w:w="1600" w:type="dxa"/>
            <w:vAlign w:val="bottom"/>
            <w:tcBorders>
              <w:right w:val="single" w:sz="8" w:color="auto"/>
            </w:tcBorders>
            <w:shd w:val="clear" w:color="auto" w:fill="CCEEFF"/>
          </w:tcPr>
          <w:p>
            <w:pPr>
              <w:spacing w:after="0"/>
              <w:rPr>
                <w:sz w:val="17"/>
                <w:szCs w:val="17"/>
                <w:color w:val="auto"/>
              </w:rPr>
            </w:pPr>
          </w:p>
        </w:tc>
        <w:tc>
          <w:tcPr>
            <w:tcW w:w="1680" w:type="dxa"/>
            <w:vAlign w:val="bottom"/>
            <w:tcBorders>
              <w:right w:val="single" w:sz="8" w:color="auto"/>
            </w:tcBorders>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Exercise period</w:t>
            </w:r>
          </w:p>
        </w:tc>
        <w:tc>
          <w:tcPr>
            <w:tcW w:w="79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Share rights will vest and become exercisable (or will automatically be exercised, if specified by the board</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 directors in the terms provided at the time of grant) when all vesting conditions and any other conditions</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advised to the participant by the board of directors have been satisfied (or otherwise waived by the board of</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directors). If the vesting conditions and all other relevant conditions are satisfied during a period in which</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participant is prohibited from dealing in our securities or shares, the Board may determine that the</w:t>
            </w:r>
          </w:p>
        </w:tc>
      </w:tr>
      <w:tr>
        <w:trPr>
          <w:trHeight w:val="241"/>
        </w:trPr>
        <w:tc>
          <w:tcPr>
            <w:tcW w:w="1600" w:type="dxa"/>
            <w:vAlign w:val="bottom"/>
            <w:tcBorders>
              <w:bottom w:val="single" w:sz="8" w:color="auto"/>
              <w:right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79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vesting of the rights held by the affected participant will be delayed until such dealings are permitted.</w:t>
            </w:r>
          </w:p>
        </w:tc>
      </w:tr>
      <w:tr>
        <w:trPr>
          <w:trHeight w:val="517"/>
        </w:trPr>
        <w:tc>
          <w:tcPr>
            <w:tcW w:w="1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960" w:type="dxa"/>
            <w:vAlign w:val="bottom"/>
          </w:tcPr>
          <w:p>
            <w:pPr>
              <w:ind w:left="2240"/>
              <w:spacing w:after="0"/>
              <w:rPr>
                <w:sz w:val="20"/>
                <w:szCs w:val="20"/>
                <w:color w:val="auto"/>
              </w:rPr>
            </w:pPr>
            <w:r>
              <w:rPr>
                <w:rFonts w:ascii="Times New Roman" w:cs="Times New Roman" w:eastAsia="Times New Roman" w:hAnsi="Times New Roman"/>
                <w:sz w:val="14"/>
                <w:szCs w:val="14"/>
                <w:color w:val="auto"/>
              </w:rPr>
              <w:t>203</w:t>
            </w:r>
          </w:p>
        </w:tc>
      </w:tr>
      <w:tr>
        <w:trPr>
          <w:trHeight w:val="44"/>
        </w:trPr>
        <w:tc>
          <w:tcPr>
            <w:tcW w:w="1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79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600" w:type="dxa"/>
            <w:vAlign w:val="bottom"/>
            <w:tcBorders>
              <w:top w:val="single" w:sz="8" w:color="auto"/>
              <w:right w:val="single" w:sz="8" w:color="auto"/>
            </w:tcBorders>
            <w:shd w:val="clear" w:color="auto" w:fill="CCEEFF"/>
          </w:tcPr>
          <w:p>
            <w:pPr>
              <w:spacing w:after="0"/>
              <w:rPr>
                <w:sz w:val="19"/>
                <w:szCs w:val="19"/>
                <w:color w:val="auto"/>
              </w:rPr>
            </w:pPr>
          </w:p>
        </w:tc>
        <w:tc>
          <w:tcPr>
            <w:tcW w:w="1680" w:type="dxa"/>
            <w:vAlign w:val="bottom"/>
            <w:tcBorders>
              <w:top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Lapse of share rights</w:t>
            </w:r>
          </w:p>
        </w:tc>
        <w:tc>
          <w:tcPr>
            <w:tcW w:w="79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share rights will lapse upon the earliest to occur of:</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(i)  </w:t>
            </w:r>
            <w:r>
              <w:rPr>
                <w:rFonts w:ascii="Times New Roman" w:cs="Times New Roman" w:eastAsia="Times New Roman" w:hAnsi="Times New Roman"/>
                <w:sz w:val="18"/>
                <w:szCs w:val="18"/>
                <w:color w:val="000000"/>
              </w:rPr>
              <w:t>ten years after the date the rights were allocated to the participant, or any other date nominated as the</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expiry date in the offer;</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(ii)  </w:t>
            </w:r>
            <w:r>
              <w:rPr>
                <w:rFonts w:ascii="Times New Roman" w:cs="Times New Roman" w:eastAsia="Times New Roman" w:hAnsi="Times New Roman"/>
                <w:sz w:val="18"/>
                <w:szCs w:val="18"/>
                <w:color w:val="000000"/>
              </w:rPr>
              <w:t>the rights lapsing in accordance with a provision of the EIP;</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(iii) </w:t>
            </w:r>
            <w:r>
              <w:rPr>
                <w:rFonts w:ascii="Times New Roman" w:cs="Times New Roman" w:eastAsia="Times New Roman" w:hAnsi="Times New Roman"/>
                <w:sz w:val="18"/>
                <w:szCs w:val="18"/>
                <w:color w:val="000000"/>
              </w:rPr>
              <w:t>failure to meet a vesting condition or any other applicable condition within the vesting period; or</w:t>
            </w:r>
          </w:p>
        </w:tc>
      </w:tr>
      <w:tr>
        <w:trPr>
          <w:trHeight w:val="241"/>
        </w:trPr>
        <w:tc>
          <w:tcPr>
            <w:tcW w:w="1600" w:type="dxa"/>
            <w:vAlign w:val="bottom"/>
            <w:tcBorders>
              <w:bottom w:val="single" w:sz="8" w:color="auto"/>
              <w:right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79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(iv)  </w:t>
            </w:r>
            <w:r>
              <w:rPr>
                <w:rFonts w:ascii="Times New Roman" w:cs="Times New Roman" w:eastAsia="Times New Roman" w:hAnsi="Times New Roman"/>
                <w:sz w:val="18"/>
                <w:szCs w:val="18"/>
                <w:color w:val="000000"/>
              </w:rPr>
              <w:t>receipt of a written notice from the participant that the participant has elected to surrender the right.</w:t>
            </w:r>
          </w:p>
        </w:tc>
      </w:tr>
      <w:tr>
        <w:trPr>
          <w:trHeight w:val="198"/>
        </w:trPr>
        <w:tc>
          <w:tcPr>
            <w:tcW w:w="16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Shares issued</w:t>
            </w:r>
          </w:p>
        </w:tc>
        <w:tc>
          <w:tcPr>
            <w:tcW w:w="79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Upon vesting, the board of directors will issue the number of fully paid ordinary shares allocatable to the</w:t>
            </w:r>
          </w:p>
        </w:tc>
      </w:tr>
      <w:tr>
        <w:trPr>
          <w:trHeight w:val="216"/>
        </w:trPr>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rights that have vested, ranking equally with, and having the same rights and entitlements as, our other</w:t>
            </w:r>
          </w:p>
        </w:tc>
      </w:tr>
      <w:tr>
        <w:trPr>
          <w:trHeight w:val="216"/>
        </w:trPr>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ordinary shares on issue at the date of allotment of the share (other than rights and entitlements accrued prior</w:t>
            </w:r>
          </w:p>
        </w:tc>
      </w:tr>
      <w:tr>
        <w:trPr>
          <w:trHeight w:val="216"/>
        </w:trPr>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the date of allotment of the share). Notwithstanding, the board of directors may determine that the</w:t>
            </w:r>
          </w:p>
        </w:tc>
      </w:tr>
      <w:tr>
        <w:trPr>
          <w:trHeight w:val="216"/>
        </w:trPr>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a share right will be satisfied in part or in whole by a cash payment made in lieu of an allocation</w:t>
            </w:r>
          </w:p>
        </w:tc>
      </w:tr>
      <w:tr>
        <w:trPr>
          <w:trHeight w:val="234"/>
        </w:trPr>
        <w:tc>
          <w:tcPr>
            <w:tcW w:w="16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shares.</w:t>
            </w:r>
          </w:p>
        </w:tc>
      </w:tr>
      <w:tr>
        <w:trPr>
          <w:trHeight w:val="414"/>
        </w:trPr>
        <w:tc>
          <w:tcPr>
            <w:tcW w:w="160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the case of share rights held by a participant who is a director, vested rights must be satisfied by shares</w:t>
            </w:r>
          </w:p>
        </w:tc>
      </w:tr>
      <w:tr>
        <w:trPr>
          <w:trHeight w:val="216"/>
        </w:trPr>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that have been purchased on market, unless:</w:t>
            </w:r>
          </w:p>
        </w:tc>
      </w:tr>
      <w:tr>
        <w:trPr>
          <w:trHeight w:val="216"/>
        </w:trPr>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18343A"/>
              </w:rPr>
              <w:t xml:space="preserve">(i)   </w:t>
            </w:r>
            <w:r>
              <w:rPr>
                <w:rFonts w:ascii="Times New Roman" w:cs="Times New Roman" w:eastAsia="Times New Roman" w:hAnsi="Times New Roman"/>
                <w:sz w:val="18"/>
                <w:szCs w:val="18"/>
                <w:color w:val="000000"/>
              </w:rPr>
              <w:t>no shareholder approval is required under the listing rules in respect of the director’s participation in</w:t>
            </w:r>
          </w:p>
        </w:tc>
      </w:tr>
      <w:tr>
        <w:trPr>
          <w:trHeight w:val="216"/>
        </w:trPr>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EIP; or</w:t>
            </w:r>
          </w:p>
        </w:tc>
      </w:tr>
      <w:tr>
        <w:trPr>
          <w:trHeight w:val="216"/>
        </w:trPr>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18343A"/>
              </w:rPr>
              <w:t xml:space="preserve">(ii)  </w:t>
            </w:r>
            <w:r>
              <w:rPr>
                <w:rFonts w:ascii="Times New Roman" w:cs="Times New Roman" w:eastAsia="Times New Roman" w:hAnsi="Times New Roman"/>
                <w:sz w:val="18"/>
                <w:szCs w:val="18"/>
                <w:color w:val="000000"/>
              </w:rPr>
              <w:t>shareholder approval has been obtained for the director’s participation in the EIP to the extent required</w:t>
            </w:r>
          </w:p>
        </w:tc>
      </w:tr>
      <w:tr>
        <w:trPr>
          <w:trHeight w:val="241"/>
        </w:trPr>
        <w:tc>
          <w:tcPr>
            <w:tcW w:w="16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under the listing rules.</w:t>
            </w:r>
          </w:p>
        </w:tc>
      </w:tr>
      <w:tr>
        <w:trPr>
          <w:trHeight w:val="198"/>
        </w:trPr>
        <w:tc>
          <w:tcPr>
            <w:tcW w:w="1600" w:type="dxa"/>
            <w:vAlign w:val="bottom"/>
            <w:tcBorders>
              <w:right w:val="single" w:sz="8" w:color="auto"/>
            </w:tcBorders>
            <w:shd w:val="clear" w:color="auto" w:fill="CCEEFF"/>
          </w:tcPr>
          <w:p>
            <w:pPr>
              <w:spacing w:after="0"/>
              <w:rPr>
                <w:sz w:val="17"/>
                <w:szCs w:val="17"/>
                <w:color w:val="auto"/>
              </w:rPr>
            </w:pPr>
          </w:p>
        </w:tc>
        <w:tc>
          <w:tcPr>
            <w:tcW w:w="1680" w:type="dxa"/>
            <w:vAlign w:val="bottom"/>
            <w:tcBorders>
              <w:right w:val="single" w:sz="8" w:color="auto"/>
            </w:tcBorders>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Share appreciation</w:t>
            </w:r>
          </w:p>
        </w:tc>
        <w:tc>
          <w:tcPr>
            <w:tcW w:w="79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At its discretion, the board of directors may determine that share appreciation rights will be granted to</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rights</w:t>
            </w: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Eligible Employees. Share appreciation rights are share rights which only produce value if, at the time of</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vesting and exercise, the current market price exceeds a notional price specified by the board of directors at</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time of the offer of such share appreciation rights. In the event that the calculation of current market</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price less notional price results in a zero or negative value at the time of exercise, the participant will not be</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entitled to any issuance of shares or cash payment. In the event that such calculation returns a positive value,</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participant will be entitled to shares (or cash payment, as determined by the board of directors under the</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applicable rules of the EIP) with a value equal to the excess of the current market value over the notional</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price. Notwithstanding, the remainder of the terms of the EIP applicable to share rights (including exercise</w:t>
            </w:r>
          </w:p>
        </w:tc>
      </w:tr>
      <w:tr>
        <w:trPr>
          <w:trHeight w:val="241"/>
        </w:trPr>
        <w:tc>
          <w:tcPr>
            <w:tcW w:w="1600" w:type="dxa"/>
            <w:vAlign w:val="bottom"/>
            <w:tcBorders>
              <w:bottom w:val="single" w:sz="8" w:color="auto"/>
              <w:right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79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period, lapse, and restrictions on transfer) apply equally to share appreciation rights.</w:t>
            </w:r>
          </w:p>
        </w:tc>
      </w:tr>
      <w:tr>
        <w:trPr>
          <w:trHeight w:val="198"/>
        </w:trPr>
        <w:tc>
          <w:tcPr>
            <w:tcW w:w="16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Restrictions on</w:t>
            </w:r>
          </w:p>
        </w:tc>
        <w:tc>
          <w:tcPr>
            <w:tcW w:w="79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Unless the board of directors determines otherwise, share rights may not be registered in any name other</w:t>
            </w:r>
          </w:p>
        </w:tc>
      </w:tr>
      <w:tr>
        <w:trPr>
          <w:trHeight w:val="216"/>
        </w:trPr>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transfer</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than that of the participant and may not be transferred, assigned, or otherwise dealt with by the participant.</w:t>
            </w:r>
          </w:p>
        </w:tc>
      </w:tr>
      <w:tr>
        <w:trPr>
          <w:trHeight w:val="241"/>
        </w:trPr>
        <w:tc>
          <w:tcPr>
            <w:tcW w:w="16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share rights</w:t>
            </w:r>
          </w:p>
        </w:tc>
        <w:tc>
          <w:tcPr>
            <w:tcW w:w="7960" w:type="dxa"/>
            <w:vAlign w:val="bottom"/>
            <w:tcBorders>
              <w:bottom w:val="single" w:sz="8" w:color="auto"/>
            </w:tcBorders>
          </w:tcPr>
          <w:p>
            <w:pPr>
              <w:spacing w:after="0"/>
              <w:rPr>
                <w:sz w:val="20"/>
                <w:szCs w:val="20"/>
                <w:color w:val="auto"/>
              </w:rPr>
            </w:pPr>
          </w:p>
        </w:tc>
      </w:tr>
      <w:tr>
        <w:trPr>
          <w:trHeight w:val="198"/>
        </w:trPr>
        <w:tc>
          <w:tcPr>
            <w:tcW w:w="160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Restricted Shares</w:t>
            </w:r>
          </w:p>
        </w:tc>
        <w:tc>
          <w:tcPr>
            <w:tcW w:w="1680" w:type="dxa"/>
            <w:vAlign w:val="bottom"/>
            <w:tcBorders>
              <w:right w:val="single" w:sz="8" w:color="auto"/>
            </w:tcBorders>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Cessation</w:t>
            </w:r>
          </w:p>
        </w:tc>
        <w:tc>
          <w:tcPr>
            <w:tcW w:w="79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 restricted share ceases to be restricted (i.e., vests) where the vesting period and all other relevant</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 restrictions</w:t>
            </w: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conditions have been satisfied or waived by the board of directors and the participant has been notified that</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restrictions have ceased or no longer apply. If the vesting conditions and all other relevant conditions are</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satisfied during a period in which the participant is prohibited from dealing in our securities or shares, the</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board of directors may determine that the vesting of the restricted shares held by the affected participant will</w:t>
            </w:r>
          </w:p>
        </w:tc>
      </w:tr>
      <w:tr>
        <w:trPr>
          <w:trHeight w:val="241"/>
        </w:trPr>
        <w:tc>
          <w:tcPr>
            <w:tcW w:w="1600" w:type="dxa"/>
            <w:vAlign w:val="bottom"/>
            <w:tcBorders>
              <w:bottom w:val="single" w:sz="8" w:color="auto"/>
              <w:right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79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 delayed until such dealings are permitted.</w:t>
            </w:r>
          </w:p>
        </w:tc>
      </w:tr>
      <w:tr>
        <w:trPr>
          <w:trHeight w:val="198"/>
        </w:trPr>
        <w:tc>
          <w:tcPr>
            <w:tcW w:w="16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Forfeiture of</w:t>
            </w:r>
          </w:p>
        </w:tc>
        <w:tc>
          <w:tcPr>
            <w:tcW w:w="79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 restricted share will be forfeited upon the earliest to occur of:</w:t>
            </w:r>
          </w:p>
        </w:tc>
      </w:tr>
      <w:tr>
        <w:trPr>
          <w:trHeight w:val="216"/>
        </w:trPr>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restricted shares</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18343A"/>
              </w:rPr>
              <w:t xml:space="preserve">(i)   </w:t>
            </w:r>
            <w:r>
              <w:rPr>
                <w:rFonts w:ascii="Times New Roman" w:cs="Times New Roman" w:eastAsia="Times New Roman" w:hAnsi="Times New Roman"/>
                <w:sz w:val="18"/>
                <w:szCs w:val="18"/>
                <w:color w:val="000000"/>
              </w:rPr>
              <w:t>the restricted share being forfeited in accordance with a provision of the EIP;</w:t>
            </w:r>
          </w:p>
        </w:tc>
      </w:tr>
      <w:tr>
        <w:trPr>
          <w:trHeight w:val="216"/>
        </w:trPr>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18343A"/>
              </w:rPr>
              <w:t xml:space="preserve">(ii)  </w:t>
            </w:r>
            <w:r>
              <w:rPr>
                <w:rFonts w:ascii="Times New Roman" w:cs="Times New Roman" w:eastAsia="Times New Roman" w:hAnsi="Times New Roman"/>
                <w:sz w:val="18"/>
                <w:szCs w:val="18"/>
                <w:color w:val="000000"/>
              </w:rPr>
              <w:t>the failure to meet a vesting condition or other applicable condition within the vesting period; or</w:t>
            </w:r>
          </w:p>
        </w:tc>
      </w:tr>
      <w:tr>
        <w:trPr>
          <w:trHeight w:val="216"/>
        </w:trPr>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18343A"/>
              </w:rPr>
              <w:t xml:space="preserve">(iii)  </w:t>
            </w:r>
            <w:r>
              <w:rPr>
                <w:rFonts w:ascii="Times New Roman" w:cs="Times New Roman" w:eastAsia="Times New Roman" w:hAnsi="Times New Roman"/>
                <w:sz w:val="18"/>
                <w:szCs w:val="18"/>
                <w:color w:val="000000"/>
              </w:rPr>
              <w:t>our receipt of a written notice from the participant that the participant has elected to surrender the</w:t>
            </w:r>
          </w:p>
        </w:tc>
      </w:tr>
      <w:tr>
        <w:trPr>
          <w:trHeight w:val="241"/>
        </w:trPr>
        <w:tc>
          <w:tcPr>
            <w:tcW w:w="16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restricted share.</w:t>
            </w:r>
          </w:p>
        </w:tc>
      </w:tr>
      <w:tr>
        <w:trPr>
          <w:trHeight w:val="198"/>
        </w:trPr>
        <w:tc>
          <w:tcPr>
            <w:tcW w:w="160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conditions</w:t>
            </w:r>
          </w:p>
        </w:tc>
        <w:tc>
          <w:tcPr>
            <w:tcW w:w="1680" w:type="dxa"/>
            <w:vAlign w:val="bottom"/>
            <w:tcBorders>
              <w:right w:val="single" w:sz="8" w:color="auto"/>
            </w:tcBorders>
            <w:shd w:val="clear" w:color="auto" w:fill="CCEEFF"/>
          </w:tcPr>
          <w:p>
            <w:pPr>
              <w:spacing w:after="0"/>
              <w:rPr>
                <w:sz w:val="17"/>
                <w:szCs w:val="17"/>
                <w:color w:val="auto"/>
              </w:rPr>
            </w:pPr>
          </w:p>
        </w:tc>
        <w:tc>
          <w:tcPr>
            <w:tcW w:w="79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Incentive Securities may be subject to any vesting condition the board of directors determines. Incentive</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Securities will vest to the participant upon all the vesting conditions and any other applicable conditions that</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apply to such Incentive Securities being satisfied. The board of directors has discretion to attach individual</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vesting conditions to the Incentive Securities at the time they are issued.</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Eligible Employees will be advised of such vesting conditions in connection with their invitation to</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participate in a grant. The board of directors may in its absolute discretion waive, amend, or replace any or</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all of the vesting conditions, provided that the interests of the affected participant are not, in the opinion of</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Board, materially prejudiced or advantaged relative to the position reasonably anticipated at the time of</w:t>
            </w:r>
          </w:p>
        </w:tc>
      </w:tr>
      <w:tr>
        <w:trPr>
          <w:trHeight w:val="241"/>
        </w:trPr>
        <w:tc>
          <w:tcPr>
            <w:tcW w:w="1600" w:type="dxa"/>
            <w:vAlign w:val="bottom"/>
            <w:tcBorders>
              <w:bottom w:val="single" w:sz="8" w:color="auto"/>
              <w:right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79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w:t>
            </w:r>
          </w:p>
        </w:tc>
      </w:tr>
      <w:tr>
        <w:trPr>
          <w:trHeight w:val="198"/>
        </w:trPr>
        <w:tc>
          <w:tcPr>
            <w:tcW w:w="160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Employee Share</w:t>
            </w:r>
          </w:p>
        </w:tc>
        <w:tc>
          <w:tcPr>
            <w:tcW w:w="1680" w:type="dxa"/>
            <w:vAlign w:val="bottom"/>
            <w:tcBorders>
              <w:right w:val="single" w:sz="8" w:color="auto"/>
            </w:tcBorders>
          </w:tcPr>
          <w:p>
            <w:pPr>
              <w:spacing w:after="0"/>
              <w:rPr>
                <w:sz w:val="17"/>
                <w:szCs w:val="17"/>
                <w:color w:val="auto"/>
              </w:rPr>
            </w:pPr>
          </w:p>
        </w:tc>
        <w:tc>
          <w:tcPr>
            <w:tcW w:w="79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For Australian participants only, ESPP shares will be allocated via new issue twice per year: in September</w:t>
            </w:r>
          </w:p>
        </w:tc>
      </w:tr>
      <w:tr>
        <w:trPr>
          <w:trHeight w:val="216"/>
        </w:trPr>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 Plan Shares</w:t>
            </w: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the following March, based on payroll deductions over the calendar year. The September purchase will</w:t>
            </w:r>
          </w:p>
        </w:tc>
      </w:tr>
      <w:tr>
        <w:trPr>
          <w:trHeight w:val="216"/>
        </w:trPr>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(ESPP Shares)</w:t>
            </w: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include salary deductions between January 1 and June 30, and the March purchase based on salary</w:t>
            </w:r>
          </w:p>
        </w:tc>
      </w:tr>
      <w:tr>
        <w:trPr>
          <w:trHeight w:val="216"/>
        </w:trPr>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deductions between July 1 and December 31. These will be held as Restricted Shares under the EIP, until</w:t>
            </w:r>
          </w:p>
        </w:tc>
      </w:tr>
      <w:tr>
        <w:trPr>
          <w:trHeight w:val="214"/>
        </w:trPr>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they pass an 18-month restricted period, at which point they will be released to the participant.</w:t>
            </w:r>
          </w:p>
        </w:tc>
      </w:tr>
      <w:tr>
        <w:trPr>
          <w:trHeight w:val="243"/>
        </w:trPr>
        <w:tc>
          <w:tcPr>
            <w:tcW w:w="16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For US participants, please see the section below “</w:t>
            </w:r>
            <w:r>
              <w:rPr>
                <w:rFonts w:ascii="Times New Roman" w:cs="Times New Roman" w:eastAsia="Times New Roman" w:hAnsi="Times New Roman"/>
                <w:sz w:val="18"/>
                <w:szCs w:val="18"/>
                <w:i w:val="1"/>
                <w:iCs w:val="1"/>
                <w:color w:val="auto"/>
              </w:rPr>
              <w:t>U.S. Employee Stock Purchase Plan”</w:t>
            </w: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212" w:name="page213"/>
    <w:bookmarkEnd w:id="2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600" w:type="dxa"/>
            <w:vAlign w:val="bottom"/>
            <w:tcBorders>
              <w:top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w:t>
            </w:r>
          </w:p>
        </w:tc>
        <w:tc>
          <w:tcPr>
            <w:tcW w:w="1680" w:type="dxa"/>
            <w:vAlign w:val="bottom"/>
            <w:tcBorders>
              <w:top w:val="single" w:sz="8" w:color="auto"/>
              <w:right w:val="single" w:sz="8" w:color="auto"/>
            </w:tcBorders>
            <w:shd w:val="clear" w:color="auto" w:fill="CCEEFF"/>
          </w:tcPr>
          <w:p>
            <w:pPr>
              <w:spacing w:after="0"/>
              <w:rPr>
                <w:sz w:val="19"/>
                <w:szCs w:val="19"/>
                <w:color w:val="auto"/>
              </w:rPr>
            </w:pPr>
          </w:p>
        </w:tc>
        <w:tc>
          <w:tcPr>
            <w:tcW w:w="79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Subject to the exceptions listed below, our board of directors may at any time by resolution amend, suspend</w:t>
            </w:r>
          </w:p>
        </w:tc>
      </w:tr>
      <w:tr>
        <w:trPr>
          <w:trHeight w:val="216"/>
        </w:trPr>
        <w:tc>
          <w:tcPr>
            <w:tcW w:w="16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suspensions or</w:t>
            </w: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 terminate any provision of the EIP without the consent of the participant. However, no amendment,</w:t>
            </w:r>
          </w:p>
        </w:tc>
      </w:tr>
      <w:tr>
        <w:trPr>
          <w:trHeight w:val="216"/>
        </w:trPr>
        <w:tc>
          <w:tcPr>
            <w:tcW w:w="16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to/of the</w:t>
            </w: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suspension or termination may be made if the amendment, suspension or termination materially prejudices</w:t>
            </w:r>
          </w:p>
        </w:tc>
      </w:tr>
      <w:tr>
        <w:trPr>
          <w:trHeight w:val="216"/>
        </w:trPr>
        <w:tc>
          <w:tcPr>
            <w:tcW w:w="16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EIP</w:t>
            </w: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rights of any participant as they existed before the date of the relevant amendment, suspension or</w:t>
            </w:r>
          </w:p>
        </w:tc>
      </w:tr>
      <w:tr>
        <w:trPr>
          <w:trHeight w:val="234"/>
        </w:trPr>
        <w:tc>
          <w:tcPr>
            <w:tcW w:w="1600" w:type="dxa"/>
            <w:vAlign w:val="bottom"/>
            <w:tcBorders>
              <w:right w:val="single" w:sz="8" w:color="auto"/>
            </w:tcBorders>
            <w:shd w:val="clear" w:color="auto" w:fill="CCEEFF"/>
          </w:tcPr>
          <w:p>
            <w:pPr>
              <w:spacing w:after="0"/>
              <w:rPr>
                <w:sz w:val="20"/>
                <w:szCs w:val="20"/>
                <w:color w:val="auto"/>
              </w:rPr>
            </w:pPr>
          </w:p>
        </w:tc>
        <w:tc>
          <w:tcPr>
            <w:tcW w:w="1680" w:type="dxa"/>
            <w:vAlign w:val="bottom"/>
            <w:tcBorders>
              <w:right w:val="single" w:sz="8" w:color="auto"/>
            </w:tcBorders>
            <w:shd w:val="clear" w:color="auto" w:fill="CCEEFF"/>
          </w:tcPr>
          <w:p>
            <w:pPr>
              <w:spacing w:after="0"/>
              <w:rPr>
                <w:sz w:val="20"/>
                <w:szCs w:val="20"/>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termination.</w:t>
            </w:r>
          </w:p>
        </w:tc>
      </w:tr>
      <w:tr>
        <w:trPr>
          <w:trHeight w:val="414"/>
        </w:trPr>
        <w:tc>
          <w:tcPr>
            <w:tcW w:w="1600" w:type="dxa"/>
            <w:vAlign w:val="bottom"/>
            <w:tcBorders>
              <w:right w:val="single" w:sz="8" w:color="auto"/>
            </w:tcBorders>
            <w:shd w:val="clear" w:color="auto" w:fill="CCEEFF"/>
          </w:tcPr>
          <w:p>
            <w:pPr>
              <w:spacing w:after="0"/>
              <w:rPr>
                <w:sz w:val="24"/>
                <w:szCs w:val="24"/>
                <w:color w:val="auto"/>
              </w:rPr>
            </w:pPr>
          </w:p>
        </w:tc>
        <w:tc>
          <w:tcPr>
            <w:tcW w:w="1680" w:type="dxa"/>
            <w:vAlign w:val="bottom"/>
            <w:tcBorders>
              <w:right w:val="single" w:sz="8" w:color="auto"/>
            </w:tcBorders>
            <w:shd w:val="clear" w:color="auto" w:fill="CCEEFF"/>
          </w:tcPr>
          <w:p>
            <w:pPr>
              <w:spacing w:after="0"/>
              <w:rPr>
                <w:sz w:val="24"/>
                <w:szCs w:val="24"/>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exceptions are amendments introduced:</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(i)   </w:t>
            </w:r>
            <w:r>
              <w:rPr>
                <w:rFonts w:ascii="Times New Roman" w:cs="Times New Roman" w:eastAsia="Times New Roman" w:hAnsi="Times New Roman"/>
                <w:sz w:val="18"/>
                <w:szCs w:val="18"/>
                <w:color w:val="000000"/>
              </w:rPr>
              <w:t>for complying or conforming with present or future laws or regulations;</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(ii)  </w:t>
            </w:r>
            <w:r>
              <w:rPr>
                <w:rFonts w:ascii="Times New Roman" w:cs="Times New Roman" w:eastAsia="Times New Roman" w:hAnsi="Times New Roman"/>
                <w:sz w:val="18"/>
                <w:szCs w:val="18"/>
                <w:color w:val="000000"/>
              </w:rPr>
              <w:t>to correct any manifest error or mistake; or</w:t>
            </w:r>
          </w:p>
        </w:tc>
      </w:tr>
      <w:tr>
        <w:trPr>
          <w:trHeight w:val="234"/>
        </w:trPr>
        <w:tc>
          <w:tcPr>
            <w:tcW w:w="1600" w:type="dxa"/>
            <w:vAlign w:val="bottom"/>
            <w:tcBorders>
              <w:right w:val="single" w:sz="8" w:color="auto"/>
            </w:tcBorders>
            <w:shd w:val="clear" w:color="auto" w:fill="CCEEFF"/>
          </w:tcPr>
          <w:p>
            <w:pPr>
              <w:spacing w:after="0"/>
              <w:rPr>
                <w:sz w:val="20"/>
                <w:szCs w:val="20"/>
                <w:color w:val="auto"/>
              </w:rPr>
            </w:pPr>
          </w:p>
        </w:tc>
        <w:tc>
          <w:tcPr>
            <w:tcW w:w="1680" w:type="dxa"/>
            <w:vAlign w:val="bottom"/>
            <w:tcBorders>
              <w:right w:val="single" w:sz="8" w:color="auto"/>
            </w:tcBorders>
            <w:shd w:val="clear" w:color="auto" w:fill="CCEEFF"/>
          </w:tcPr>
          <w:p>
            <w:pPr>
              <w:spacing w:after="0"/>
              <w:rPr>
                <w:sz w:val="20"/>
                <w:szCs w:val="20"/>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18343A"/>
              </w:rPr>
              <w:t xml:space="preserve">(iii)  </w:t>
            </w:r>
            <w:r>
              <w:rPr>
                <w:rFonts w:ascii="Times New Roman" w:cs="Times New Roman" w:eastAsia="Times New Roman" w:hAnsi="Times New Roman"/>
                <w:sz w:val="18"/>
                <w:szCs w:val="18"/>
                <w:color w:val="000000"/>
              </w:rPr>
              <w:t>to take into consideration adverse taxation implications in relation to the EIP.</w:t>
            </w:r>
          </w:p>
        </w:tc>
      </w:tr>
      <w:tr>
        <w:trPr>
          <w:trHeight w:val="414"/>
        </w:trPr>
        <w:tc>
          <w:tcPr>
            <w:tcW w:w="1600" w:type="dxa"/>
            <w:vAlign w:val="bottom"/>
            <w:tcBorders>
              <w:right w:val="single" w:sz="8" w:color="auto"/>
            </w:tcBorders>
            <w:shd w:val="clear" w:color="auto" w:fill="CCEEFF"/>
          </w:tcPr>
          <w:p>
            <w:pPr>
              <w:spacing w:after="0"/>
              <w:rPr>
                <w:sz w:val="24"/>
                <w:szCs w:val="24"/>
                <w:color w:val="auto"/>
              </w:rPr>
            </w:pPr>
          </w:p>
        </w:tc>
        <w:tc>
          <w:tcPr>
            <w:tcW w:w="1680" w:type="dxa"/>
            <w:vAlign w:val="bottom"/>
            <w:tcBorders>
              <w:right w:val="single" w:sz="8" w:color="auto"/>
            </w:tcBorders>
            <w:shd w:val="clear" w:color="auto" w:fill="CCEEFF"/>
          </w:tcPr>
          <w:p>
            <w:pPr>
              <w:spacing w:after="0"/>
              <w:rPr>
                <w:sz w:val="24"/>
                <w:szCs w:val="24"/>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Moreover, the board of directors may waive, amend or replace any vesting condition attaching to an</w:t>
            </w:r>
          </w:p>
        </w:tc>
      </w:tr>
      <w:tr>
        <w:trPr>
          <w:trHeight w:val="216"/>
        </w:trPr>
        <w:tc>
          <w:tcPr>
            <w:tcW w:w="160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Incentive Security if the board of directors determines that the original vesting condition is no longer</w:t>
            </w:r>
          </w:p>
        </w:tc>
      </w:tr>
      <w:tr>
        <w:trPr>
          <w:trHeight w:val="241"/>
        </w:trPr>
        <w:tc>
          <w:tcPr>
            <w:tcW w:w="1600" w:type="dxa"/>
            <w:vAlign w:val="bottom"/>
            <w:tcBorders>
              <w:bottom w:val="single" w:sz="8" w:color="auto"/>
              <w:right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79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appropriate or applicable.</w:t>
            </w:r>
          </w:p>
        </w:tc>
      </w:tr>
      <w:tr>
        <w:trPr>
          <w:trHeight w:val="432"/>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U.S. Employee Stock Purchase Plan</w:t>
            </w:r>
          </w:p>
        </w:tc>
        <w:tc>
          <w:tcPr>
            <w:tcW w:w="796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12, 2024, our board of directors approved and adopted the Telix Pharmaceuticals (US) Inc. Employee Stock Purchase Plan Rules, or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ESPP, subject to shareholder approval. We intend to submit the U.S. ESPP for approval within 12 months of the board of directors’ approval of the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ESPP.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terms of the U.S. ESPP are summarized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U.S. ESPP is comprised of two distinct components in order to provide flexibility to grant options to purchase shares under the U.S. ESPP. Specifically, the U.S. ESPP authorizes (1) the grant of options to U.S. employees that are intended to qualify for favorable U.S. federal tax treatment under Section 423 of the Internal Revenue Code of 1986, as amended, or the Code, which we refer to as the Section 423 Component, and (2) the grant of options that are not intended to be tax-qualified under Section 423 of the Code to provide flexibility to achieve tax, securities laws or other objectives, which we refer to as the Non-Section 423 Component. Where permitted under local law and custom, we expect that the Non-Section 423 Component will generally be operated and administered on terms and conditions similar to the Section 423 Component. In order for the Section 423 Component to qualify for U.S. federal tax treatment under Section 423 of the Code, our shareholders must approve the U.S. ESPP within 12 months of adoption by our board of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Available for Awards; Administration</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 total of 1,351,000 ordinary shares are initially reserved for issuance under the U.S. ESPP. Our board of directors, or a committee of our board of directors, will be the administrator of the U.S. ESPP, or the Administrator, and has authority to interpret the terms of the U.S. ESPP and determine eligibility of participants. The People, Culture, Nomination and Remuneration Committee will be the initial Administrator of the U.S. ESPP. The ordinary shares purchased under the U.S. ESPP may be authorized but unissued shares or treasury shares, including shares bought on the open market, new issue, recycled, or otherwise acquired for purposes of the U.S. ESPP. The Administrator will have the authority to grant options to purchase ADSs to eligible participants in lieu of ordinary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U.S. employees who have been continuously employed by a participating company within our Group (as determined by the Administrator) for at least six months prior to the enrollment date, and whose customary employment is 20 hours or more per week, are eligible to participate in the U.S. ESPP. However, an employee may not be granted an option to purchase shares under our U.S. ESPP if the employee, immediately after the grant, would own (directly or through attribution) shares possessing 5% or more of the total combined voting power or value of all classes of our shares or shares of any of our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 Periods and Purchase Price</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Shares will be offered under the U.S. ESPP during offering periods. Eligible participants will be able to enroll in the U.S. ESPP during a specified enrollment period each calendar year, with each plan year commencing on January 1 (other than the first plan year for calendar year 2025, which we anticipate will commence on April 1, 2025). Starting in calendar year 2026, we expect there will be a series of sequential offering periods, with the first offering period commencing on or around January 1 of each calendar year and ending on or before September 30 of that same year, and with the second offering period commencing on or around July 1 and ending on or before March 15 of the following calendar year. Within each offering period, there will be a six month contribution period, starting on January 1 and July 1 of each calendar year, respectively, within which employee payroll deductions will be collected from participants and accumulated under the plan for the applicable offering period. If permitted by the Administrator to comply with non-U.S. requirements for the Non-423 Component, in lieu of payroll deductions, the Administrator may provide that an eligible employee may elect to participate via cash, check or other means acceptable to the Administrator. Employee contributions will be used to allocate shares (via purchase or new issue of shares) on each exercise date during an offering period. The exercise dates for each offering period will be the final trading day in the offering period. The Administrator may, in its discretion, modify the terms of future offering and contribution periods.</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U.S. ESPP permits participants to have contributions made during the contribution periods to be expressed, at our sole discretion, as a U.S. dollar amount with the minimum and/or maximum U.S. dollar amount to be specified by us. These contributions will be used to purchase ordinary shares. The Administrator may establish a minimum or maximum amount of contributions a participant may make, and the minimum or maximum number of shares that may be purchased during any offering period. In addition, no employee will be permitted to accrue an option to purchase shares under the Section 423 Component at a rate in excess of US$25,000 worth of shares during any calendar year during which such a purchase right is outstanding (determined at the fair market value per share of our ordinary shares as of the beginning of each offering period).</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the first trading day of each offering period, each participant will automatically be granted an option to purchase ordinary shares. An option will be exercised automatically at the end of the applicable offering period to the extent of the payroll deductions accumulated during the offering period. The purchase price of the shares will be 85% (or such greater percentage, if determined by the Administrator prior to the offering period) of the lower of the fair</w:t>
      </w:r>
    </w:p>
    <w:p>
      <w:pPr>
        <w:sectPr>
          <w:pgSz w:w="11900" w:h="16838" w:orient="portrait"/>
          <w:cols w:equalWidth="0" w:num="1">
            <w:col w:w="11240"/>
          </w:cols>
          <w:pgMar w:left="320" w:top="116" w:right="339" w:bottom="0" w:gutter="0" w:footer="0" w:header="0"/>
        </w:sectPr>
      </w:pPr>
    </w:p>
    <w:bookmarkStart w:id="213" w:name="page214"/>
    <w:bookmarkEnd w:id="213"/>
    <w:p>
      <w:pPr>
        <w:ind w:right="160"/>
        <w:spacing w:after="0" w:line="266" w:lineRule="auto"/>
        <w:rPr>
          <w:sz w:val="20"/>
          <w:szCs w:val="20"/>
          <w:color w:val="auto"/>
        </w:rPr>
      </w:pPr>
      <w:r>
        <w:rPr>
          <w:rFonts w:ascii="Times New Roman" w:cs="Times New Roman" w:eastAsia="Times New Roman" w:hAnsi="Times New Roman"/>
          <w:sz w:val="18"/>
          <w:szCs w:val="18"/>
          <w:color w:val="auto"/>
        </w:rPr>
        <w:t>market value of our ordinary shares on the first trading day of the offering period or on the exercise date. The fair market value of our ordinary shares for this purpose will generally be the closing price of our ordinary shares on the ASX (or such other exchange as our ordinary shares may be traded at the relevant time, including our ADSs on Nasdaq) on the first trading day of the offering period or on the exercise date, as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Participant Modification, Withdrawal or Termination</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Participants may voluntarily end their participation in the U.S. ESPP at any time during a contribution period prior to the end of the applicable offering period, and will be paid their accrued payroll deductions that have not yet been used to purchase ordinary shares. Participants will not be permitted to modify their plan year contributions following close of the specified enrollment period. Participation ends automatically upon a participant’s termination of employment. A participant’s contributions will roll over in each new plan year until termination of participation, or modification or discontinuance of contributions consistent with the terms of the U.S. ESPP.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Rights</w:t>
      </w:r>
    </w:p>
    <w:p>
      <w:pPr>
        <w:spacing w:after="0" w:line="2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 participant may not transfer, assign, pledge or otherwise dispose of contributions made or rights granted under the U.S. ESPP other than in the event of the death of a participant, in which case such participant’s contributions will be delivered to the executor or administrator of the estate of the participant. The Administrator will have the discretion at its election to impose a holding period during which the sale of shares issued under the U.S. ESPP will be restricted. During the initial offering period, the terms of the U.S. ESPP require the Administrator to impose an 18-month holding period from each exercise date, during which the sale of shares issued under the U.S. ESPP will be restricted from transfer. Except for the aforementioned transfer restrictions, once shares have been delivered to participants, such participants will have all of the rights and privileges applicable to other holders of ordinary shares.</w:t>
      </w: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to Shares or Capital Structure</w:t>
      </w:r>
    </w:p>
    <w:p>
      <w:pPr>
        <w:spacing w:after="0" w:line="22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Subject to any required shareholder approval, in the event that there is a specified type of change in our capital structure, such as a share split, share dividend, or combination or reclassification of the shares, proportionate adjustments will be made to the number of shares reserved under the U.S. ESPP, the price of shares that any participant has elected to purchase, and any other variables tied to the number of shares or the per share purchase price which we determine should be adjusted.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Administrator may amend, suspend or terminate the U.S. ESPP at any time without the consent of the participant. However, to the extent that shareholder approval is required under applicable tax, securities, stock exchange or other laws or rules, no amendment may be made without such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Equity-Based Awards as of December 31, 2024</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Equity-based awards granted to our non-executive directors and executive officers consist of options (no longer issued) and PSARs that provide the holder with the right to convert each option or PSAR to a fully paid ordinary share if vesting conditions are met. The following table discloses particulars of all awards outstanding for non-executive directors and executive officers as of December 31, 2024, including awards (as options) granted before fiscal year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1460" w:type="dxa"/>
            <w:vAlign w:val="bottom"/>
            <w:tcBorders>
              <w:right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Expiry Date</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130"/>
        </w:trPr>
        <w:tc>
          <w:tcPr>
            <w:tcW w:w="542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Securities</w:t>
            </w:r>
          </w:p>
        </w:tc>
        <w:tc>
          <w:tcPr>
            <w:tcW w:w="1460" w:type="dxa"/>
            <w:vAlign w:val="bottom"/>
            <w:tcBorders>
              <w:right w:val="single" w:sz="8" w:color="auto"/>
            </w:tcBorders>
            <w:vMerge w:val="continue"/>
          </w:tcPr>
          <w:p>
            <w:pPr>
              <w:spacing w:after="0"/>
              <w:rPr>
                <w:sz w:val="11"/>
                <w:szCs w:val="11"/>
                <w:color w:val="auto"/>
              </w:rPr>
            </w:pPr>
          </w:p>
        </w:tc>
        <w:tc>
          <w:tcPr>
            <w:tcW w:w="144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86"/>
        </w:trPr>
        <w:tc>
          <w:tcPr>
            <w:tcW w:w="5420" w:type="dxa"/>
            <w:vAlign w:val="bottom"/>
            <w:tcBorders>
              <w:right w:val="single" w:sz="8" w:color="auto"/>
            </w:tcBorders>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542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Granted</w:t>
            </w:r>
          </w:p>
        </w:tc>
        <w:tc>
          <w:tcPr>
            <w:tcW w:w="146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Non-Executive Directors</w:t>
            </w:r>
          </w:p>
        </w:tc>
        <w:tc>
          <w:tcPr>
            <w:tcW w:w="146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Tiffany Olson</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SAR</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05/18/2026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46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Christian Behrenbruch</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100,708</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Vested Option</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1/26/2026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139,672</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PSAR</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4/4/2027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120,268</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PSAR</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144,037</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PSAR</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3/31/2029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Darren Smith</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45,449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PSAR</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10/24/2027</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32,463</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PSAR</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10/24/2027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106,197</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PSAR</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PSIR</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3/31/2029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PSIR</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3/31/2030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76,311</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PSAR</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3/31/2029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tcPr>
          <w:p>
            <w:pPr>
              <w:spacing w:after="0" w:line="216" w:lineRule="exact"/>
              <w:rPr>
                <w:sz w:val="20"/>
                <w:szCs w:val="20"/>
                <w:color w:val="auto"/>
              </w:rPr>
            </w:pPr>
            <w:r>
              <w:rPr>
                <w:rFonts w:ascii="Times New Roman" w:cs="Times New Roman" w:eastAsia="Times New Roman" w:hAnsi="Times New Roman"/>
                <w:sz w:val="16"/>
                <w:szCs w:val="16"/>
                <w:color w:val="auto"/>
              </w:rPr>
              <w:t>Richard Valeix</w:t>
            </w:r>
            <w:r>
              <w:rPr>
                <w:rFonts w:ascii="Times New Roman" w:cs="Times New Roman" w:eastAsia="Times New Roman" w:hAnsi="Times New Roman"/>
                <w:sz w:val="25"/>
                <w:szCs w:val="25"/>
                <w:color w:val="auto"/>
                <w:vertAlign w:val="superscript"/>
              </w:rPr>
              <w:t>1</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Vested Option</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7/20/2026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89,300</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PSAR</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4/4/2027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121,821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PSAR</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Performance Right</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PSIR</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3/31/2029</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PSIR</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3/31/2030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90,537</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PSAR</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3/31/2029</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Performance Right</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3/31/2029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Cade</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Right</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7/18/2026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78,189</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PSAR</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4/4/2027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101,152</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PSAR</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74,191</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PSAR</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3/31/2029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Darren Patti</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Vested Options</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7/20/2026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15,826</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PSAR</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4/4/2027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Talent Equity Right</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4/30/2025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32,938</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PSAR</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Talent Equity Right</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6/15/2025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Talent Equity Right</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10/31/2028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Talent Equity Right</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10/31/2029</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PSAR</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3/31/2029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83,082</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PSAR</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3/31/2029</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Talent Equity Right</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4/1/2025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8"/>
        <w:spacing w:after="0" w:line="282" w:lineRule="auto"/>
        <w:tabs>
          <w:tab w:leader="none" w:pos="58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Valeix transitioned to the non-executive officer role of CEO - Therapeutics effective August 19, 2024. His equity is reported as of his final date as an executive officer.</w:t>
      </w:r>
    </w:p>
    <w:p>
      <w:pPr>
        <w:sectPr>
          <w:pgSz w:w="11900" w:h="16838" w:orient="portrait"/>
          <w:cols w:equalWidth="0" w:num="1">
            <w:col w:w="11240"/>
          </w:cols>
          <w:pgMar w:left="320" w:top="116" w:right="339" w:bottom="1118"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118" w:gutter="0" w:footer="0" w:header="0"/>
          <w:type w:val="continuous"/>
        </w:sectPr>
      </w:pPr>
    </w:p>
    <w:bookmarkStart w:id="215" w:name="page216"/>
    <w:bookmarkEnd w:id="2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All executive officers are employed on ongoing, permanent contracts and have notice period and cascading non-compete and non-solicit clauses in their employment agreements as summarized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Role</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Notice Period</w:t>
            </w:r>
          </w:p>
        </w:tc>
        <w:tc>
          <w:tcPr>
            <w:tcW w:w="6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Non-Compete and Non-Solicit</w:t>
            </w:r>
          </w:p>
        </w:tc>
      </w:tr>
      <w:tr>
        <w:trPr>
          <w:trHeight w:val="198"/>
        </w:trPr>
        <w:tc>
          <w:tcPr>
            <w:tcW w:w="228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Christian Behrenbruch PhD</w:t>
            </w:r>
          </w:p>
        </w:tc>
        <w:tc>
          <w:tcPr>
            <w:tcW w:w="2120" w:type="dxa"/>
            <w:vAlign w:val="bottom"/>
            <w:tcBorders>
              <w:right w:val="single" w:sz="8" w:color="auto"/>
            </w:tcBorders>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6 months</w:t>
            </w:r>
          </w:p>
        </w:tc>
        <w:tc>
          <w:tcPr>
            <w:tcW w:w="68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0A2E94"/>
              </w:rPr>
              <w:t xml:space="preserve">•   </w:t>
            </w:r>
            <w:r>
              <w:rPr>
                <w:rFonts w:ascii="Times New Roman" w:cs="Times New Roman" w:eastAsia="Times New Roman" w:hAnsi="Times New Roman"/>
                <w:sz w:val="18"/>
                <w:szCs w:val="18"/>
                <w:color w:val="000000"/>
              </w:rPr>
              <w:t>Non-compete and non-solicit: 6, 3 months</w:t>
            </w:r>
          </w:p>
        </w:tc>
      </w:tr>
      <w:tr>
        <w:trPr>
          <w:trHeight w:val="216"/>
        </w:trPr>
        <w:tc>
          <w:tcPr>
            <w:tcW w:w="2280" w:type="dxa"/>
            <w:vAlign w:val="bottom"/>
            <w:tcBorders>
              <w:right w:val="single" w:sz="8" w:color="auto"/>
            </w:tcBorders>
            <w:shd w:val="clear" w:color="auto" w:fill="CCEEFF"/>
          </w:tcPr>
          <w:p>
            <w:pPr>
              <w:spacing w:after="0"/>
              <w:rPr>
                <w:sz w:val="18"/>
                <w:szCs w:val="18"/>
                <w:color w:val="auto"/>
              </w:rPr>
            </w:pPr>
          </w:p>
        </w:tc>
        <w:tc>
          <w:tcPr>
            <w:tcW w:w="2120" w:type="dxa"/>
            <w:vAlign w:val="bottom"/>
            <w:tcBorders>
              <w:right w:val="single" w:sz="8" w:color="auto"/>
            </w:tcBorders>
            <w:shd w:val="clear" w:color="auto" w:fill="CCEEFF"/>
          </w:tcPr>
          <w:p>
            <w:pPr>
              <w:spacing w:after="0"/>
              <w:rPr>
                <w:sz w:val="18"/>
                <w:szCs w:val="18"/>
                <w:color w:val="auto"/>
              </w:rPr>
            </w:pP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0A2E94"/>
              </w:rPr>
              <w:t xml:space="preserve">•   </w:t>
            </w:r>
            <w:r>
              <w:rPr>
                <w:rFonts w:ascii="Times New Roman" w:cs="Times New Roman" w:eastAsia="Times New Roman" w:hAnsi="Times New Roman"/>
                <w:sz w:val="18"/>
                <w:szCs w:val="18"/>
                <w:color w:val="000000"/>
              </w:rPr>
              <w:t>Restricted area: Australia/United Kingdom/European Union or United States; Victoria;</w:t>
            </w:r>
          </w:p>
        </w:tc>
      </w:tr>
      <w:tr>
        <w:trPr>
          <w:trHeight w:val="241"/>
        </w:trPr>
        <w:tc>
          <w:tcPr>
            <w:tcW w:w="2280" w:type="dxa"/>
            <w:vAlign w:val="bottom"/>
            <w:tcBorders>
              <w:bottom w:val="single" w:sz="8" w:color="auto"/>
              <w:right w:val="single" w:sz="8" w:color="auto"/>
            </w:tcBorders>
            <w:shd w:val="clear" w:color="auto" w:fill="CCEEFF"/>
          </w:tcPr>
          <w:p>
            <w:pPr>
              <w:spacing w:after="0"/>
              <w:rPr>
                <w:sz w:val="20"/>
                <w:szCs w:val="20"/>
                <w:color w:val="auto"/>
              </w:rPr>
            </w:pPr>
          </w:p>
        </w:tc>
        <w:tc>
          <w:tcPr>
            <w:tcW w:w="2120" w:type="dxa"/>
            <w:vAlign w:val="bottom"/>
            <w:tcBorders>
              <w:bottom w:val="single" w:sz="8" w:color="auto"/>
              <w:right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5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Melbourne</w:t>
            </w:r>
          </w:p>
        </w:tc>
      </w:tr>
      <w:tr>
        <w:trPr>
          <w:trHeight w:val="198"/>
        </w:trPr>
        <w:tc>
          <w:tcPr>
            <w:tcW w:w="22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Darren Smith</w:t>
            </w:r>
          </w:p>
        </w:tc>
        <w:tc>
          <w:tcPr>
            <w:tcW w:w="212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4 months</w:t>
            </w:r>
          </w:p>
        </w:tc>
        <w:tc>
          <w:tcPr>
            <w:tcW w:w="68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0A2E94"/>
              </w:rPr>
              <w:t xml:space="preserve">•   </w:t>
            </w:r>
            <w:r>
              <w:rPr>
                <w:rFonts w:ascii="Times New Roman" w:cs="Times New Roman" w:eastAsia="Times New Roman" w:hAnsi="Times New Roman"/>
                <w:sz w:val="18"/>
                <w:szCs w:val="18"/>
                <w:color w:val="000000"/>
              </w:rPr>
              <w:t>Non-compete and non-solicit: 6, 3, 1 month(s)</w:t>
            </w:r>
          </w:p>
        </w:tc>
      </w:tr>
      <w:tr>
        <w:trPr>
          <w:trHeight w:val="241"/>
        </w:trPr>
        <w:tc>
          <w:tcPr>
            <w:tcW w:w="22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6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0A2E94"/>
              </w:rPr>
              <w:t xml:space="preserve">•   </w:t>
            </w:r>
            <w:r>
              <w:rPr>
                <w:rFonts w:ascii="Times New Roman" w:cs="Times New Roman" w:eastAsia="Times New Roman" w:hAnsi="Times New Roman"/>
                <w:sz w:val="18"/>
                <w:szCs w:val="18"/>
                <w:color w:val="000000"/>
              </w:rPr>
              <w:t>Restricted area: Australia; Victoria; Melbourne</w:t>
            </w:r>
          </w:p>
        </w:tc>
      </w:tr>
      <w:tr>
        <w:trPr>
          <w:trHeight w:val="198"/>
        </w:trPr>
        <w:tc>
          <w:tcPr>
            <w:tcW w:w="228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David Cade</w:t>
            </w:r>
          </w:p>
        </w:tc>
        <w:tc>
          <w:tcPr>
            <w:tcW w:w="2120" w:type="dxa"/>
            <w:vAlign w:val="bottom"/>
            <w:tcBorders>
              <w:right w:val="single" w:sz="8" w:color="auto"/>
            </w:tcBorders>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4 months</w:t>
            </w:r>
          </w:p>
        </w:tc>
        <w:tc>
          <w:tcPr>
            <w:tcW w:w="68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0A2E94"/>
              </w:rPr>
              <w:t xml:space="preserve">•   </w:t>
            </w:r>
            <w:r>
              <w:rPr>
                <w:rFonts w:ascii="Times New Roman" w:cs="Times New Roman" w:eastAsia="Times New Roman" w:hAnsi="Times New Roman"/>
                <w:sz w:val="18"/>
                <w:szCs w:val="18"/>
                <w:color w:val="000000"/>
              </w:rPr>
              <w:t>Non-compete and non-solicit: 6, 3, 1 month(s)</w:t>
            </w:r>
          </w:p>
        </w:tc>
      </w:tr>
      <w:tr>
        <w:trPr>
          <w:trHeight w:val="241"/>
        </w:trPr>
        <w:tc>
          <w:tcPr>
            <w:tcW w:w="2280" w:type="dxa"/>
            <w:vAlign w:val="bottom"/>
            <w:tcBorders>
              <w:bottom w:val="single" w:sz="8" w:color="auto"/>
              <w:right w:val="single" w:sz="8" w:color="auto"/>
            </w:tcBorders>
            <w:shd w:val="clear" w:color="auto" w:fill="CCEEFF"/>
          </w:tcPr>
          <w:p>
            <w:pPr>
              <w:spacing w:after="0"/>
              <w:rPr>
                <w:sz w:val="20"/>
                <w:szCs w:val="20"/>
                <w:color w:val="auto"/>
              </w:rPr>
            </w:pPr>
          </w:p>
        </w:tc>
        <w:tc>
          <w:tcPr>
            <w:tcW w:w="2120" w:type="dxa"/>
            <w:vAlign w:val="bottom"/>
            <w:tcBorders>
              <w:bottom w:val="single" w:sz="8" w:color="auto"/>
              <w:right w:val="single" w:sz="8" w:color="auto"/>
            </w:tcBorders>
            <w:shd w:val="clear" w:color="auto" w:fill="CCEEFF"/>
          </w:tcPr>
          <w:p>
            <w:pPr>
              <w:spacing w:after="0"/>
              <w:rPr>
                <w:sz w:val="20"/>
                <w:szCs w:val="20"/>
                <w:color w:val="auto"/>
              </w:rPr>
            </w:pPr>
          </w:p>
        </w:tc>
        <w:tc>
          <w:tcPr>
            <w:tcW w:w="684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0A2E94"/>
              </w:rPr>
              <w:t xml:space="preserve">•   </w:t>
            </w:r>
            <w:r>
              <w:rPr>
                <w:rFonts w:ascii="Times New Roman" w:cs="Times New Roman" w:eastAsia="Times New Roman" w:hAnsi="Times New Roman"/>
                <w:sz w:val="18"/>
                <w:szCs w:val="18"/>
                <w:color w:val="000000"/>
              </w:rPr>
              <w:t>Restricted area: Australia; Melbourne/Victoria/Australia</w:t>
            </w:r>
          </w:p>
        </w:tc>
      </w:tr>
      <w:tr>
        <w:trPr>
          <w:trHeight w:val="198"/>
        </w:trPr>
        <w:tc>
          <w:tcPr>
            <w:tcW w:w="22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Darren Patti</w:t>
            </w:r>
          </w:p>
        </w:tc>
        <w:tc>
          <w:tcPr>
            <w:tcW w:w="212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4 months</w:t>
            </w:r>
          </w:p>
        </w:tc>
        <w:tc>
          <w:tcPr>
            <w:tcW w:w="68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0A2E94"/>
              </w:rPr>
              <w:t xml:space="preserve">•   </w:t>
            </w:r>
            <w:r>
              <w:rPr>
                <w:rFonts w:ascii="Times New Roman" w:cs="Times New Roman" w:eastAsia="Times New Roman" w:hAnsi="Times New Roman"/>
                <w:sz w:val="18"/>
                <w:szCs w:val="18"/>
                <w:color w:val="000000"/>
              </w:rPr>
              <w:t>Non-compete and non-solicit: 6 months</w:t>
            </w:r>
          </w:p>
        </w:tc>
      </w:tr>
      <w:tr>
        <w:trPr>
          <w:trHeight w:val="216"/>
        </w:trPr>
        <w:tc>
          <w:tcPr>
            <w:tcW w:w="22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0A2E94"/>
              </w:rPr>
              <w:t>•</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area: United States; Australia, United Kingdom and the European Union;</w:t>
            </w:r>
          </w:p>
        </w:tc>
      </w:tr>
      <w:tr>
        <w:trPr>
          <w:trHeight w:val="241"/>
        </w:trPr>
        <w:tc>
          <w:tcPr>
            <w:tcW w:w="22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states, provinces or territories within the United States</w:t>
            </w:r>
          </w:p>
        </w:tc>
      </w:tr>
      <w:tr>
        <w:trPr>
          <w:trHeight w:val="198"/>
        </w:trPr>
        <w:tc>
          <w:tcPr>
            <w:tcW w:w="228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4"/>
                <w:szCs w:val="14"/>
                <w:color w:val="auto"/>
              </w:rPr>
              <w:t>Richard Valeix</w:t>
            </w:r>
            <w:r>
              <w:rPr>
                <w:rFonts w:ascii="Times New Roman" w:cs="Times New Roman" w:eastAsia="Times New Roman" w:hAnsi="Times New Roman"/>
                <w:sz w:val="22"/>
                <w:szCs w:val="22"/>
                <w:color w:val="auto"/>
                <w:vertAlign w:val="superscript"/>
              </w:rPr>
              <w:t>1</w:t>
            </w:r>
          </w:p>
        </w:tc>
        <w:tc>
          <w:tcPr>
            <w:tcW w:w="2120" w:type="dxa"/>
            <w:vAlign w:val="bottom"/>
            <w:tcBorders>
              <w:right w:val="single" w:sz="8" w:color="auto"/>
            </w:tcBorders>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3 months</w:t>
            </w:r>
          </w:p>
        </w:tc>
        <w:tc>
          <w:tcPr>
            <w:tcW w:w="68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0A2E94"/>
              </w:rPr>
              <w:t xml:space="preserve">•   </w:t>
            </w:r>
            <w:r>
              <w:rPr>
                <w:rFonts w:ascii="Times New Roman" w:cs="Times New Roman" w:eastAsia="Times New Roman" w:hAnsi="Times New Roman"/>
                <w:sz w:val="18"/>
                <w:szCs w:val="18"/>
                <w:color w:val="000000"/>
              </w:rPr>
              <w:t>Non-compete and non-solicit: 12 months</w:t>
            </w:r>
          </w:p>
        </w:tc>
      </w:tr>
      <w:tr>
        <w:trPr>
          <w:trHeight w:val="216"/>
        </w:trPr>
        <w:tc>
          <w:tcPr>
            <w:tcW w:w="2280" w:type="dxa"/>
            <w:vAlign w:val="bottom"/>
            <w:tcBorders>
              <w:right w:val="single" w:sz="8" w:color="auto"/>
            </w:tcBorders>
            <w:shd w:val="clear" w:color="auto" w:fill="CCEEFF"/>
          </w:tcPr>
          <w:p>
            <w:pPr>
              <w:spacing w:after="0"/>
              <w:rPr>
                <w:sz w:val="18"/>
                <w:szCs w:val="18"/>
                <w:color w:val="auto"/>
              </w:rPr>
            </w:pPr>
          </w:p>
        </w:tc>
        <w:tc>
          <w:tcPr>
            <w:tcW w:w="2120" w:type="dxa"/>
            <w:vAlign w:val="bottom"/>
            <w:tcBorders>
              <w:right w:val="single" w:sz="8" w:color="auto"/>
            </w:tcBorders>
            <w:shd w:val="clear" w:color="auto" w:fill="CCEEFF"/>
          </w:tcPr>
          <w:p>
            <w:pPr>
              <w:spacing w:after="0"/>
              <w:rPr>
                <w:sz w:val="18"/>
                <w:szCs w:val="18"/>
                <w:color w:val="auto"/>
              </w:rPr>
            </w:pP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0A2E94"/>
              </w:rPr>
              <w:t xml:space="preserve">•   </w:t>
            </w:r>
            <w:r>
              <w:rPr>
                <w:rFonts w:ascii="Times New Roman" w:cs="Times New Roman" w:eastAsia="Times New Roman" w:hAnsi="Times New Roman"/>
                <w:sz w:val="18"/>
                <w:szCs w:val="18"/>
                <w:color w:val="000000"/>
              </w:rPr>
              <w:t>Restricted area: Switzerland/ the European Union/ the United Kingdom/ Australia/</w:t>
            </w:r>
          </w:p>
        </w:tc>
      </w:tr>
      <w:tr>
        <w:trPr>
          <w:trHeight w:val="241"/>
        </w:trPr>
        <w:tc>
          <w:tcPr>
            <w:tcW w:w="2280" w:type="dxa"/>
            <w:vAlign w:val="bottom"/>
            <w:tcBorders>
              <w:bottom w:val="single" w:sz="8" w:color="auto"/>
              <w:right w:val="single" w:sz="8" w:color="auto"/>
            </w:tcBorders>
            <w:shd w:val="clear" w:color="auto" w:fill="CCEEFF"/>
          </w:tcPr>
          <w:p>
            <w:pPr>
              <w:spacing w:after="0"/>
              <w:rPr>
                <w:sz w:val="20"/>
                <w:szCs w:val="20"/>
                <w:color w:val="auto"/>
              </w:rPr>
            </w:pPr>
          </w:p>
        </w:tc>
        <w:tc>
          <w:tcPr>
            <w:tcW w:w="2120" w:type="dxa"/>
            <w:vAlign w:val="bottom"/>
            <w:tcBorders>
              <w:bottom w:val="single" w:sz="8" w:color="auto"/>
              <w:right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5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 Canada/ Japan and China</w:t>
            </w:r>
          </w:p>
        </w:tc>
      </w:tr>
    </w:tbl>
    <w:p>
      <w:pPr>
        <w:spacing w:after="0" w:line="198" w:lineRule="exact"/>
        <w:rPr>
          <w:sz w:val="20"/>
          <w:szCs w:val="20"/>
          <w:color w:val="auto"/>
        </w:rPr>
      </w:pPr>
    </w:p>
    <w:p>
      <w:pPr>
        <w:ind w:left="380" w:hanging="372"/>
        <w:spacing w:after="0"/>
        <w:tabs>
          <w:tab w:leader="none" w:pos="380" w:val="left"/>
        </w:tabs>
        <w:numPr>
          <w:ilvl w:val="0"/>
          <w:numId w:val="120"/>
        </w:numPr>
        <w:rPr>
          <w:rFonts w:ascii="Times New Roman" w:cs="Times New Roman" w:eastAsia="Times New Roman" w:hAnsi="Times New Roman"/>
          <w:sz w:val="18"/>
          <w:szCs w:val="18"/>
          <w:color w:val="18343A"/>
        </w:rPr>
      </w:pPr>
      <w:r>
        <w:rPr>
          <w:rFonts w:ascii="Times New Roman" w:cs="Times New Roman" w:eastAsia="Times New Roman" w:hAnsi="Times New Roman"/>
          <w:sz w:val="18"/>
          <w:szCs w:val="18"/>
          <w:color w:val="auto"/>
        </w:rPr>
        <w:t>Mr. Valeix transitioned to the non-executive officer role of CEO - Therapeutics effective August 19, 2024.</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Employment may be terminated by either the executive officer or the Company on the provision of notice in the minimum period stated above. In the event of termination for cause, the Company may terminate an executive officer’s employment immediately without notice.</w:t>
      </w:r>
    </w:p>
    <w:p>
      <w:pPr>
        <w:spacing w:after="0" w:line="158" w:lineRule="exact"/>
        <w:rPr>
          <w:sz w:val="20"/>
          <w:szCs w:val="20"/>
          <w:color w:val="auto"/>
        </w:rPr>
      </w:pPr>
    </w:p>
    <w:p>
      <w:pPr>
        <w:ind w:right="9620" w:firstLine="8"/>
        <w:spacing w:after="0" w:line="503" w:lineRule="auto"/>
        <w:tabs>
          <w:tab w:leader="none" w:pos="391"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 Director Terms</w:t>
      </w:r>
    </w:p>
    <w:p>
      <w:pPr>
        <w:ind w:right="20"/>
        <w:spacing w:after="0" w:line="272" w:lineRule="auto"/>
        <w:rPr>
          <w:sz w:val="20"/>
          <w:szCs w:val="20"/>
          <w:color w:val="auto"/>
        </w:rPr>
      </w:pPr>
      <w:r>
        <w:rPr>
          <w:rFonts w:ascii="Times New Roman" w:cs="Times New Roman" w:eastAsia="Times New Roman" w:hAnsi="Times New Roman"/>
          <w:sz w:val="17"/>
          <w:szCs w:val="17"/>
          <w:color w:val="auto"/>
        </w:rPr>
        <w:t>In accordance with the ASX Listing Rules, a director (other than the CEO) must not hold office, without re-election, past the third annual general meeting, or AGM, following the director’s appointment or three years, whichever is longer. In addition, under our Constitution, a director appointed by our board of directors who is not a CEO holds office until the next annual general meeting of the Company following his or her appointment and no director who is not the CEO may hold office without re-election beyond the third annual general meeting of the Company following the meeting at which such director was last elected (or re-elected). Under our Constitution, to the extent that the ASX Listing Rules require an election of directors to be held and no director would otherwise be required to submit for election or re-election, the director to retire is any director who wishes to retire (whether or not he or she intends to stand for re-election), otherwise it is the director who has been longest in office since their last election or appointment (excluding the CEO). As between directors who were last elected or appointed on the same day, the director to retire must be decided by lot (unless they can agree among themselves).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information regarding the terms of service of each of our directors: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Date of Initial</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End of Current Term /</w:t>
            </w:r>
          </w:p>
        </w:tc>
      </w:tr>
      <w:tr>
        <w:trPr>
          <w:trHeight w:val="245"/>
        </w:trPr>
        <w:tc>
          <w:tcPr>
            <w:tcW w:w="2040" w:type="dxa"/>
            <w:vAlign w:val="bottom"/>
            <w:tcBorders>
              <w:bottom w:val="single" w:sz="8" w:color="auto"/>
              <w:right w:val="single" w:sz="8" w:color="auto"/>
            </w:tcBorders>
          </w:tcPr>
          <w:p>
            <w:pPr>
              <w:spacing w:after="0"/>
              <w:rPr>
                <w:sz w:val="21"/>
                <w:szCs w:val="21"/>
                <w:color w:val="auto"/>
              </w:rPr>
            </w:pPr>
          </w:p>
        </w:tc>
        <w:tc>
          <w:tcPr>
            <w:tcW w:w="3940" w:type="dxa"/>
            <w:vAlign w:val="bottom"/>
            <w:tcBorders>
              <w:bottom w:val="single" w:sz="8" w:color="auto"/>
              <w:right w:val="single" w:sz="8" w:color="auto"/>
            </w:tcBorders>
          </w:tcPr>
          <w:p>
            <w:pPr>
              <w:spacing w:after="0"/>
              <w:rPr>
                <w:sz w:val="21"/>
                <w:szCs w:val="21"/>
                <w:color w:val="auto"/>
              </w:rPr>
            </w:pPr>
          </w:p>
        </w:tc>
        <w:tc>
          <w:tcPr>
            <w:tcW w:w="2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Appointment</w:t>
            </w:r>
          </w:p>
        </w:tc>
        <w:tc>
          <w:tcPr>
            <w:tcW w:w="2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Eligible for Re-Election</w:t>
            </w:r>
          </w:p>
        </w:tc>
      </w:tr>
      <w:tr>
        <w:trPr>
          <w:trHeight w:val="223"/>
        </w:trPr>
        <w:tc>
          <w:tcPr>
            <w:tcW w:w="20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Behrenbruch</w:t>
            </w:r>
          </w:p>
        </w:tc>
        <w:tc>
          <w:tcPr>
            <w:tcW w:w="394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Managing Director and Group CEO</w:t>
            </w:r>
          </w:p>
        </w:tc>
        <w:tc>
          <w:tcPr>
            <w:tcW w:w="262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January 2017</w:t>
            </w:r>
          </w:p>
        </w:tc>
        <w:tc>
          <w:tcPr>
            <w:tcW w:w="26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 Kevin McCann</w:t>
            </w:r>
          </w:p>
        </w:tc>
        <w:tc>
          <w:tcPr>
            <w:tcW w:w="3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Independent Non-Executive Director and Chairman</w:t>
            </w:r>
          </w:p>
        </w:tc>
        <w:tc>
          <w:tcPr>
            <w:tcW w:w="2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September 2017</w:t>
            </w:r>
          </w:p>
        </w:tc>
        <w:tc>
          <w:tcPr>
            <w:tcW w:w="2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2026 AGM</w:t>
            </w:r>
          </w:p>
        </w:tc>
      </w:tr>
      <w:tr>
        <w:trPr>
          <w:trHeight w:val="223"/>
        </w:trPr>
        <w:tc>
          <w:tcPr>
            <w:tcW w:w="20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Nelson</w:t>
            </w:r>
          </w:p>
        </w:tc>
        <w:tc>
          <w:tcPr>
            <w:tcW w:w="394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262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September 2017</w:t>
            </w:r>
          </w:p>
        </w:tc>
        <w:tc>
          <w:tcPr>
            <w:tcW w:w="26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2026 AGM</w:t>
            </w:r>
          </w:p>
        </w:tc>
      </w:tr>
      <w:tr>
        <w:trPr>
          <w:trHeight w:val="223"/>
        </w:trPr>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Tiffany Olson</w:t>
            </w:r>
          </w:p>
        </w:tc>
        <w:tc>
          <w:tcPr>
            <w:tcW w:w="3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2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March 2022</w:t>
            </w:r>
          </w:p>
        </w:tc>
        <w:tc>
          <w:tcPr>
            <w:tcW w:w="2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2025 AGM</w:t>
            </w:r>
          </w:p>
        </w:tc>
      </w:tr>
      <w:tr>
        <w:trPr>
          <w:trHeight w:val="223"/>
        </w:trPr>
        <w:tc>
          <w:tcPr>
            <w:tcW w:w="20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Jann Skinner</w:t>
            </w:r>
          </w:p>
        </w:tc>
        <w:tc>
          <w:tcPr>
            <w:tcW w:w="394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262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June 2018</w:t>
            </w:r>
          </w:p>
        </w:tc>
        <w:tc>
          <w:tcPr>
            <w:tcW w:w="26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2025 AGM</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Contracts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as disclosed in this section, we do not have any service contracts with directors which provide for benefits upon termination of employment.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foreign private issuer, under the listing requirements and rules of Nasdaq, we are not required to have independent directors on our board of directors, except that our Audit and Risk Committee is required to consist fully of independent directors, subject to certain phase-in schedules. However, our board of directors has determined that, under current listing requirements and rules of Nasdaq and taking into account the board of director’s Charter independence requirements, H. Kevin McCann, Mark Nelson, Tiffany Olson and Jann Skinner are “independent directors” under Rule 10A-3 of the Exchange Act, and pursuant to applicable Nasdaq rules. In making such determination, our board of directors considered the relationships that each non-executive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independence criteria under the applicable Nasdaq rules differ from the independence criteria set forth by the ASX in the Corporate Governance Principles and Recommendations, 4th edition. Under the Corporate Governance Principles and Recommendations, 4th edition, H. Kevin McCann, Mark Nelson, Tiffany Olson and Jann Skinner are “independent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of Directors in Risk Oversight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Audit and Risk Committee of our board of directors is primarily responsible for overseeing our risk management processes on behalf of our board of directors. Our Audit and Risk Committee receives reports from management at least quarterly regarding our assessment of risks. In addition, the Audit and Risk Committee reports regularly to our board of directors, which also considers our risk profile. The Audit and Risk Committee and our board of directors focus on the most significant risks we face and our general risk management strategies. While our board of directors oversees our risk management, management is responsible for day-to-day risk management processes. Our board of directors expects management to consider risk and risk management in each business decision, to proactively develop and monitor risk management strategies and processes for day-to-day activities and to effectively implement risk management strategies adopted by the Audit and Risk Committee and our board of directors. We believe this division of responsibilities is the most effective approach for addressing the risks we face and that our board leadership structure, which also emphasizes the independence of our board of directors in its oversight of its business and affairs, supports this approach.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assist with the effective discharge of its duties, our board of directors has established an Audit and Risk Committee, a People, Culture, Nomination and Remuneration Committee and a Disclosure Committee. Each committee (other than the Disclosure Committee which reviews and approves all material announcements to the market, where not approved by the full board of directors as specified by our Continuous Disclosure Policy) operates under a charter approved by our board of directors, which sets forth the purposes and responsibilities of the committee as well as qualifications for committee membership, committee structure and operations and committee reporting to our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and Risk Committee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an Audit and Risk Committee established in accordance with our Constitution that operates under a Charter approved by our board of directors. The Audit and Risk Committee’s role outlined in the Charter is to review and make recommendations (as appropriate) to our board of directors in relation to its accounting, auditing, financial reporting, internal control, risk management, legal and regulatory compliance, sustainability responsibilities, and internal and external audit functions.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membership of the Audit and Risk Committee is:</w:t>
      </w:r>
    </w:p>
    <w:p>
      <w:pPr>
        <w:spacing w:after="0" w:line="225" w:lineRule="exact"/>
        <w:rPr>
          <w:sz w:val="20"/>
          <w:szCs w:val="20"/>
          <w:color w:val="auto"/>
        </w:rPr>
      </w:pPr>
    </w:p>
    <w:p>
      <w:pPr>
        <w:ind w:left="340" w:hanging="238"/>
        <w:spacing w:after="0"/>
        <w:tabs>
          <w:tab w:leader="none" w:pos="340" w:val="left"/>
        </w:tabs>
        <w:numPr>
          <w:ilvl w:val="0"/>
          <w:numId w:val="12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Jann Skinner (Chair);</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12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H Kevin McCann;</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12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Mark Nelson;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12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Tiffany Olson.</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People, Culture, Nomination and Remuneration Committee</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a People, Culture, Nomination and Remuneration Committee established in accordance with our Constitution that operates under a Charter approved by our board of directors. The People, Culture, Nomination and Remuneration Committee’s nomination roles outlined in the Charter include assisting our board of directors in fulfilling its responsibilities relating to our key people and organizational culture strategies and their alignment with our purpose and strategy, responsibilities relating to the size and composition of our board of directors and reviewing board performance, oversight responsibilities to shareholders with respect to our remuneration policies and practices, non-executive director and senior executive management appointment, succession planning and diversity initiatives.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membership of the People, Culture, Nomination and Remuneration Committee is:</w:t>
      </w:r>
    </w:p>
    <w:p>
      <w:pPr>
        <w:spacing w:after="0" w:line="225" w:lineRule="exact"/>
        <w:rPr>
          <w:sz w:val="20"/>
          <w:szCs w:val="20"/>
          <w:color w:val="auto"/>
        </w:rPr>
      </w:pPr>
    </w:p>
    <w:p>
      <w:pPr>
        <w:ind w:left="340" w:hanging="238"/>
        <w:spacing w:after="0"/>
        <w:tabs>
          <w:tab w:leader="none" w:pos="340" w:val="left"/>
        </w:tabs>
        <w:numPr>
          <w:ilvl w:val="0"/>
          <w:numId w:val="12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H Kevin McCann (Chair);</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12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Mark Nelson;</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12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Jann Skinner;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12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Tiffany Olson.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qualify as a “foreign private issuer” as defined in Rule 3b-4 of the Exchange Act. As a foreign private issuer, we are exempt from certain rules under the Exchange Act that impose disclosure requirements as well as procedural requirements for proxy solicitations under Section 14 of the Exchange Act. In addition, our executive officers and directors are not subject to short-swing profit and insider trading reporting obligations under Section 16 of the Exchange Act. They will, however, be subject to the obligations to report changes in share ownership under Section 13 of the Exchange Act and related SEC rules, to the extent applicable. The foreign private issuer exemption also permits us to follow home country corporate governance practices or requirements instead of certain Nasdaq listing requirements, including the following:</w:t>
      </w:r>
    </w:p>
    <w:p>
      <w:pPr>
        <w:spacing w:after="0" w:line="187" w:lineRule="exact"/>
        <w:rPr>
          <w:sz w:val="20"/>
          <w:szCs w:val="20"/>
          <w:color w:val="auto"/>
        </w:rPr>
      </w:pPr>
    </w:p>
    <w:p>
      <w:pPr>
        <w:ind w:left="340" w:right="20" w:hanging="238"/>
        <w:spacing w:after="0" w:line="257" w:lineRule="auto"/>
        <w:tabs>
          <w:tab w:leader="none" w:pos="340" w:val="left"/>
        </w:tabs>
        <w:numPr>
          <w:ilvl w:val="0"/>
          <w:numId w:val="12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rely on an exemption from the requirement that our independent directors meet regularly in executive sessions. In contrast to Nasdaq requirements, the ASX Listing Rules and the Australian Corporations Act do not require the independent directors of an Australian company to have executive sessions.</w:t>
      </w:r>
    </w:p>
    <w:p>
      <w:pPr>
        <w:spacing w:after="0" w:line="1" w:lineRule="exact"/>
        <w:rPr>
          <w:rFonts w:ascii="Times New Roman" w:cs="Times New Roman" w:eastAsia="Times New Roman" w:hAnsi="Times New Roman"/>
          <w:sz w:val="18"/>
          <w:szCs w:val="18"/>
          <w:color w:val="0A2E94"/>
        </w:rPr>
      </w:pPr>
    </w:p>
    <w:p>
      <w:pPr>
        <w:ind w:left="340" w:right="200" w:hanging="238"/>
        <w:spacing w:after="0" w:line="250" w:lineRule="auto"/>
        <w:tabs>
          <w:tab w:leader="none" w:pos="340" w:val="left"/>
        </w:tabs>
        <w:numPr>
          <w:ilvl w:val="0"/>
          <w:numId w:val="12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rely on an exemption from the quorum requirements applicable to meetings of shareholders under Nasdaq rules. While Nasdaq requires that an issuer provide for a quorum as specified in its bylaws for any meeting of the holders of ordinary shares, which quorum may not be less than 33 1/3% of the outstanding shares of an issuer’s voting ordinary shares, our Constitution provides that two shareholders present and entitled to vote on a resolution at the meeting shall constitute a quorum for a general meeting.</w:t>
      </w:r>
    </w:p>
    <w:p>
      <w:pPr>
        <w:spacing w:after="0" w:line="1" w:lineRule="exact"/>
        <w:rPr>
          <w:rFonts w:ascii="Times New Roman" w:cs="Times New Roman" w:eastAsia="Times New Roman" w:hAnsi="Times New Roman"/>
          <w:sz w:val="18"/>
          <w:szCs w:val="18"/>
          <w:color w:val="0A2E94"/>
        </w:rPr>
      </w:pPr>
    </w:p>
    <w:p>
      <w:pPr>
        <w:jc w:val="both"/>
        <w:ind w:left="340" w:hanging="238"/>
        <w:spacing w:after="0" w:line="250" w:lineRule="auto"/>
        <w:tabs>
          <w:tab w:leader="none" w:pos="340" w:val="left"/>
        </w:tabs>
        <w:numPr>
          <w:ilvl w:val="0"/>
          <w:numId w:val="12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rely on an exemption from the requirement that the responsibility for the appointment of the independent registered public accounting firm be made by the audit committee. While our Audit and Risk Committee is directly responsible for remuneration and oversight of the independent registered public accounting firm, the ultimate responsibility for the appointment of the independent registered public accounting firm rests with our shareholders in accordance with Australian law and our Constitution. In accordance with Rule 10A-3 of the Exchange Act, our Audit and Risk Committee is responsible for the annual auditor engagement and if there is any proposed change to the independent registered public accounting firm, the committee will make a recommendation to our board of directors, which would then be considered by our shareholders at an annual meeting of shareholders.</w:t>
      </w:r>
    </w:p>
    <w:p>
      <w:pPr>
        <w:spacing w:after="0" w:line="2" w:lineRule="exact"/>
        <w:rPr>
          <w:rFonts w:ascii="Times New Roman" w:cs="Times New Roman" w:eastAsia="Times New Roman" w:hAnsi="Times New Roman"/>
          <w:sz w:val="18"/>
          <w:szCs w:val="18"/>
          <w:color w:val="0A2E94"/>
        </w:rPr>
      </w:pPr>
    </w:p>
    <w:p>
      <w:pPr>
        <w:ind w:left="340" w:right="40" w:hanging="238"/>
        <w:spacing w:after="0" w:line="252" w:lineRule="auto"/>
        <w:tabs>
          <w:tab w:leader="none" w:pos="340" w:val="left"/>
        </w:tabs>
        <w:numPr>
          <w:ilvl w:val="0"/>
          <w:numId w:val="12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We rely on an exemption from the requirement prescribed by Nasdaq that issuers obtain shareholder approval prior to the issuance of securities in connection with certain acquisitions, changes of controls or private placements of securities, or the establishment or amendment of certain stock option, purchase or other compensation plans. Applicable Australian law and rules differ from Nasdaq requirements, with the ASX Listing Rules providing generally for the ability to seek prior shareholder approval in numerous circumstances, including (i) issuance of equity securities exceeding 15% of our issued share capital in any 12 month period (but, in determining the available issue limit, securities issued under an exception to the rule or with shareholder approval are not counted), (ii) issuance of equity securities to related parties, certain substantial shareholders and their respective associates (as defined in the ASX Listing Rules) and (iii) directors or their associates acquiring securities under an employee incentive plan.</w:t>
      </w:r>
    </w:p>
    <w:p>
      <w:pPr>
        <w:spacing w:after="0" w:line="18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listing rules of Nasdaq.</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9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Employees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2024, we had 554 employees based in 12 countries, as shown in the chart below.</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Employees</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Australia</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Belgium</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Zealand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r>
    </w:tbl>
    <w:p>
      <w:pPr>
        <w:spacing w:after="0" w:line="19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None of our employees are subject to a collective bargaining agreement or represented by a trade or labor union. We consider our relationship with our employees to be good.</w:t>
      </w:r>
    </w:p>
    <w:p>
      <w:pPr>
        <w:spacing w:after="0" w:line="158" w:lineRule="exact"/>
        <w:rPr>
          <w:sz w:val="20"/>
          <w:szCs w:val="20"/>
          <w:color w:val="auto"/>
        </w:rPr>
      </w:pPr>
    </w:p>
    <w:p>
      <w:pPr>
        <w:ind w:left="400" w:hanging="392"/>
        <w:spacing w:after="0"/>
        <w:tabs>
          <w:tab w:leader="none" w:pos="40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information regarding the share ownership of our directors and executive officers, see “Item 7. Major Shareholders and Related Party Transactions — A. Major Shareholders.”</w:t>
      </w:r>
    </w:p>
    <w:p>
      <w:pPr>
        <w:spacing w:after="0" w:line="158" w:lineRule="exact"/>
        <w:rPr>
          <w:sz w:val="20"/>
          <w:szCs w:val="20"/>
          <w:color w:val="auto"/>
        </w:rPr>
      </w:pPr>
    </w:p>
    <w:p>
      <w:pPr>
        <w:ind w:left="400" w:hanging="392"/>
        <w:spacing w:after="0"/>
        <w:tabs>
          <w:tab w:leader="none" w:pos="40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ind w:left="400" w:hanging="392"/>
        <w:spacing w:after="0"/>
        <w:tabs>
          <w:tab w:leader="none" w:pos="40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sets forth information with respect to the beneficial ownership of our ordinary shares as of December 31, 2024, for:</w:t>
      </w:r>
    </w:p>
    <w:p>
      <w:pPr>
        <w:spacing w:after="0" w:line="225" w:lineRule="exact"/>
        <w:rPr>
          <w:sz w:val="20"/>
          <w:szCs w:val="20"/>
          <w:color w:val="auto"/>
        </w:rPr>
      </w:pPr>
    </w:p>
    <w:p>
      <w:pPr>
        <w:ind w:left="340" w:hanging="238"/>
        <w:spacing w:after="0"/>
        <w:tabs>
          <w:tab w:leader="none" w:pos="340" w:val="left"/>
        </w:tabs>
        <w:numPr>
          <w:ilvl w:val="0"/>
          <w:numId w:val="12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each person or group of affiliated persons known by us to beneficially own more than 5% of our ordinary shares;</w:t>
      </w:r>
    </w:p>
    <w:p>
      <w:pPr>
        <w:spacing w:after="0" w:line="27"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12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each of our executive officers;</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12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each of our directors; and</w:t>
      </w:r>
    </w:p>
    <w:p>
      <w:pPr>
        <w:spacing w:after="0" w:line="9"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12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all of our directors and executive officers as a group.</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Applicable percentage ownership is based on 334,724,485 ordinary shares outstanding as of December 31, 2024. As of December 31, 2024, we had 109 holders of record of our ordinary shares in the United States, holding, in the aggregate 5,412,020 ordinary shares, or 1.6% of our outstanding ordinary shares. In computing the number of shares beneficially owned by a person or entity and the percentage ownership of such person or entity, we deemed to be outstanding all shares subject to options held by the person or entity that are currently exercisable, or exercisable within 60 days of December 31, 2024. However, except as described above, we did not deem such shares outstanding for the purpose of computing the percentage ownership of any other person or entity. The information contained in the following table is not necessarily indicative of beneficial ownership for any other purpose, and the inclusion of any shares in the table does not constitute an admission of beneficial ownership of those shares. Each of our shareholders is entitled to one vote per ordinary share. None of the holders of our ordinary have different voting rights from other holders of our ordinary shares. We are not aware of any arrangement that may, at a subsequent date, result in a change of control of our company. For further information regarding options to purchase ordinary shares held by our directors and executive officers, see “Item 6. Directors, Senior Management and Employees — B. Compensation.”</w:t>
      </w:r>
    </w:p>
    <w:p>
      <w:pPr>
        <w:spacing w:after="0" w:line="1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c/o Telix Pharmaceuticals Limited, 55 Flemington Road, North Melbourne, Victoria, 3051, Australia.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3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130"/>
        </w:trPr>
        <w:tc>
          <w:tcPr>
            <w:tcW w:w="8440" w:type="dxa"/>
            <w:vAlign w:val="bottom"/>
            <w:tcBorders>
              <w:right w:val="single" w:sz="8" w:color="auto"/>
            </w:tcBorders>
            <w:vMerge w:val="continue"/>
          </w:tcPr>
          <w:p>
            <w:pPr>
              <w:spacing w:after="0"/>
              <w:rPr>
                <w:sz w:val="11"/>
                <w:szCs w:val="11"/>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844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844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or greater shareholders</w:t>
            </w:r>
          </w:p>
        </w:tc>
        <w:tc>
          <w:tcPr>
            <w:tcW w:w="150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auto"/>
              <w:right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State Street Corporation</w:t>
            </w:r>
            <w:r>
              <w:rPr>
                <w:rFonts w:ascii="Times New Roman" w:cs="Times New Roman" w:eastAsia="Times New Roman" w:hAnsi="Times New Roman"/>
                <w:sz w:val="29"/>
                <w:szCs w:val="29"/>
                <w:color w:val="auto"/>
                <w:vertAlign w:val="superscript"/>
              </w:rPr>
              <w:t>1</w:t>
            </w:r>
          </w:p>
        </w:tc>
        <w:tc>
          <w:tcPr>
            <w:tcW w:w="15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17,516,215</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auto"/>
              <w:right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Andreas Kluge</w:t>
            </w:r>
            <w:r>
              <w:rPr>
                <w:rFonts w:ascii="Times New Roman" w:cs="Times New Roman" w:eastAsia="Times New Roman" w:hAnsi="Times New Roman"/>
                <w:sz w:val="29"/>
                <w:szCs w:val="29"/>
                <w:color w:val="auto"/>
                <w:vertAlign w:val="superscript"/>
              </w:rPr>
              <w:t>2</w:t>
            </w:r>
          </w:p>
        </w:tc>
        <w:tc>
          <w:tcPr>
            <w:tcW w:w="15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22,675,000</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auto"/>
              <w:right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H Kevin McCann</w:t>
            </w:r>
            <w:r>
              <w:rPr>
                <w:rFonts w:ascii="Times New Roman" w:cs="Times New Roman" w:eastAsia="Times New Roman" w:hAnsi="Times New Roman"/>
                <w:sz w:val="29"/>
                <w:szCs w:val="29"/>
                <w:color w:val="auto"/>
                <w:vertAlign w:val="superscript"/>
              </w:rPr>
              <w:t>3</w:t>
            </w:r>
          </w:p>
        </w:tc>
        <w:tc>
          <w:tcPr>
            <w:tcW w:w="15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1,150,000</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440" w:type="dxa"/>
            <w:vAlign w:val="bottom"/>
            <w:tcBorders>
              <w:bottom w:val="single" w:sz="8" w:color="auto"/>
              <w:right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Christian Behrenbruch</w:t>
            </w:r>
            <w:r>
              <w:rPr>
                <w:rFonts w:ascii="Times New Roman" w:cs="Times New Roman" w:eastAsia="Times New Roman" w:hAnsi="Times New Roman"/>
                <w:sz w:val="29"/>
                <w:szCs w:val="29"/>
                <w:color w:val="auto"/>
                <w:vertAlign w:val="superscript"/>
              </w:rPr>
              <w:t>4</w:t>
            </w:r>
          </w:p>
        </w:tc>
        <w:tc>
          <w:tcPr>
            <w:tcW w:w="15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23,329,006</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auto"/>
              <w:right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Mark Nelson</w:t>
            </w:r>
            <w:r>
              <w:rPr>
                <w:rFonts w:ascii="Times New Roman" w:cs="Times New Roman" w:eastAsia="Times New Roman" w:hAnsi="Times New Roman"/>
                <w:sz w:val="29"/>
                <w:szCs w:val="29"/>
                <w:color w:val="auto"/>
                <w:vertAlign w:val="superscript"/>
              </w:rPr>
              <w:t>5</w:t>
            </w:r>
          </w:p>
        </w:tc>
        <w:tc>
          <w:tcPr>
            <w:tcW w:w="15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3,628,750</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63"/>
        </w:trPr>
        <w:tc>
          <w:tcPr>
            <w:tcW w:w="8440" w:type="dxa"/>
            <w:vAlign w:val="bottom"/>
            <w:tcBorders>
              <w:bottom w:val="single" w:sz="8" w:color="auto"/>
              <w:right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Tiffany Olson</w:t>
            </w:r>
            <w:r>
              <w:rPr>
                <w:rFonts w:ascii="Times New Roman" w:cs="Times New Roman" w:eastAsia="Times New Roman" w:hAnsi="Times New Roman"/>
                <w:sz w:val="29"/>
                <w:szCs w:val="29"/>
                <w:color w:val="auto"/>
                <w:vertAlign w:val="superscript"/>
              </w:rPr>
              <w:t>6</w:t>
            </w:r>
          </w:p>
        </w:tc>
        <w:tc>
          <w:tcPr>
            <w:tcW w:w="15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95,235</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440" w:type="dxa"/>
            <w:vAlign w:val="bottom"/>
            <w:tcBorders>
              <w:bottom w:val="single" w:sz="8" w:color="auto"/>
              <w:right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Jann Skinner</w:t>
            </w:r>
            <w:r>
              <w:rPr>
                <w:rFonts w:ascii="Times New Roman" w:cs="Times New Roman" w:eastAsia="Times New Roman" w:hAnsi="Times New Roman"/>
                <w:sz w:val="29"/>
                <w:szCs w:val="29"/>
                <w:color w:val="auto"/>
                <w:vertAlign w:val="superscript"/>
              </w:rPr>
              <w:t>7</w:t>
            </w:r>
          </w:p>
        </w:tc>
        <w:tc>
          <w:tcPr>
            <w:tcW w:w="15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595,000</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auto"/>
              <w:right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Darren Smith</w:t>
            </w:r>
            <w:r>
              <w:rPr>
                <w:rFonts w:ascii="Times New Roman" w:cs="Times New Roman" w:eastAsia="Times New Roman" w:hAnsi="Times New Roman"/>
                <w:sz w:val="29"/>
                <w:szCs w:val="29"/>
                <w:color w:val="auto"/>
                <w:vertAlign w:val="superscript"/>
              </w:rPr>
              <w:t>8</w:t>
            </w:r>
          </w:p>
        </w:tc>
        <w:tc>
          <w:tcPr>
            <w:tcW w:w="15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6,500</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440" w:type="dxa"/>
            <w:vAlign w:val="bottom"/>
            <w:tcBorders>
              <w:bottom w:val="single" w:sz="8" w:color="auto"/>
              <w:right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Darren Patti</w:t>
            </w:r>
            <w:r>
              <w:rPr>
                <w:rFonts w:ascii="Times New Roman" w:cs="Times New Roman" w:eastAsia="Times New Roman" w:hAnsi="Times New Roman"/>
                <w:sz w:val="29"/>
                <w:szCs w:val="29"/>
                <w:color w:val="auto"/>
                <w:vertAlign w:val="superscript"/>
              </w:rPr>
              <w:t>9</w:t>
            </w:r>
          </w:p>
        </w:tc>
        <w:tc>
          <w:tcPr>
            <w:tcW w:w="15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100,000</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440" w:type="dxa"/>
            <w:vAlign w:val="bottom"/>
            <w:tcBorders>
              <w:bottom w:val="single" w:sz="8" w:color="auto"/>
              <w:right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David Cade</w:t>
            </w:r>
            <w:r>
              <w:rPr>
                <w:rFonts w:ascii="Times New Roman" w:cs="Times New Roman" w:eastAsia="Times New Roman" w:hAnsi="Times New Roman"/>
                <w:sz w:val="29"/>
                <w:szCs w:val="29"/>
                <w:color w:val="auto"/>
                <w:vertAlign w:val="superscript"/>
              </w:rPr>
              <w:t>10</w:t>
            </w:r>
          </w:p>
        </w:tc>
        <w:tc>
          <w:tcPr>
            <w:tcW w:w="15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373,133</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(eight persons)</w:t>
            </w:r>
          </w:p>
        </w:tc>
        <w:tc>
          <w:tcPr>
            <w:tcW w:w="15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29,277,624</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860" w:hanging="488"/>
        <w:spacing w:after="0"/>
        <w:tabs>
          <w:tab w:leader="none" w:pos="8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filed with the ASX by State Street Corporation and subsidiaries on August 30, 2024. The address for State Street</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Corporation is State Street Financial Center, 1 Lincoln Street, Boston, MA 02111.</w:t>
      </w:r>
    </w:p>
    <w:p>
      <w:pPr>
        <w:spacing w:after="0" w:line="9" w:lineRule="exact"/>
        <w:rPr>
          <w:sz w:val="20"/>
          <w:szCs w:val="20"/>
          <w:color w:val="auto"/>
        </w:rPr>
      </w:pPr>
    </w:p>
    <w:p>
      <w:pPr>
        <w:ind w:left="860" w:hanging="488"/>
        <w:spacing w:after="0" w:line="250" w:lineRule="auto"/>
        <w:tabs>
          <w:tab w:leader="none" w:pos="8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22,675,000 ordinary shares beneficially owned and (ii) no ordinary shares issuable upon the exercise of options that are exercisable within 60 days of December 31, 2024. Dr. Kluge retired from his role as a Non-Executive Director on October 17, 2024.</w:t>
      </w:r>
    </w:p>
    <w:p>
      <w:pPr>
        <w:spacing w:after="0" w:line="1" w:lineRule="exact"/>
        <w:rPr>
          <w:sz w:val="20"/>
          <w:szCs w:val="20"/>
          <w:color w:val="auto"/>
        </w:rPr>
      </w:pPr>
    </w:p>
    <w:p>
      <w:pPr>
        <w:ind w:left="860" w:hanging="488"/>
        <w:spacing w:after="0" w:line="250" w:lineRule="auto"/>
        <w:tabs>
          <w:tab w:leader="none" w:pos="8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1,150,000 ordinary shares beneficially owned or with right to control and (ii) no ordinary shares issuable upon the exercise of options that are exercisable within 60 days of December 31, 2024.</w:t>
      </w:r>
    </w:p>
    <w:p>
      <w:pPr>
        <w:spacing w:after="0" w:line="1" w:lineRule="exact"/>
        <w:rPr>
          <w:sz w:val="20"/>
          <w:szCs w:val="20"/>
          <w:color w:val="auto"/>
        </w:rPr>
      </w:pPr>
    </w:p>
    <w:p>
      <w:pPr>
        <w:ind w:left="860" w:hanging="488"/>
        <w:spacing w:after="0"/>
        <w:tabs>
          <w:tab w:leader="none" w:pos="8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23,228,298 ordinary shares beneficially owned (including 400,000 ADSs, each representing one of our ordinary shares), and (ii)</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100,708 ordinary shares issuable upon the exercise of options that are exercisable within 60 days of December 31, 2024.</w:t>
      </w:r>
    </w:p>
    <w:p>
      <w:pPr>
        <w:spacing w:after="0" w:line="9" w:lineRule="exact"/>
        <w:rPr>
          <w:sz w:val="20"/>
          <w:szCs w:val="20"/>
          <w:color w:val="auto"/>
        </w:rPr>
      </w:pPr>
    </w:p>
    <w:p>
      <w:pPr>
        <w:ind w:left="860" w:right="20" w:hanging="488"/>
        <w:spacing w:after="0" w:line="250" w:lineRule="auto"/>
        <w:tabs>
          <w:tab w:leader="none" w:pos="8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3,628,750 ordinary shares beneficially owned and (ii) no ordinary shares issuable upon the exercise of options that are exercisable within 60 days of December 31, 2024.</w:t>
      </w:r>
    </w:p>
    <w:p>
      <w:pPr>
        <w:spacing w:after="0" w:line="1" w:lineRule="exact"/>
        <w:rPr>
          <w:sz w:val="20"/>
          <w:szCs w:val="20"/>
          <w:color w:val="auto"/>
        </w:rPr>
      </w:pPr>
    </w:p>
    <w:p>
      <w:pPr>
        <w:ind w:left="860" w:hanging="488"/>
        <w:spacing w:after="0" w:line="250" w:lineRule="auto"/>
        <w:tabs>
          <w:tab w:leader="none" w:pos="8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95,235 ordinary shares beneficially owned and (ii) no ordinary shares issuable upon the exercise of options that are exercisable within 60 days of December 31, 2024.</w:t>
      </w:r>
    </w:p>
    <w:p>
      <w:pPr>
        <w:spacing w:after="0" w:line="1" w:lineRule="exact"/>
        <w:rPr>
          <w:sz w:val="20"/>
          <w:szCs w:val="20"/>
          <w:color w:val="auto"/>
        </w:rPr>
      </w:pPr>
    </w:p>
    <w:p>
      <w:pPr>
        <w:ind w:left="860" w:hanging="488"/>
        <w:spacing w:after="0" w:line="250" w:lineRule="auto"/>
        <w:tabs>
          <w:tab w:leader="none" w:pos="8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595,000 ordinary shares beneficially owned and (ii) no ordinary shares issuable upon the exercise of options that are exercisable within 60 days of December 31, 2024.</w:t>
      </w:r>
    </w:p>
    <w:p>
      <w:pPr>
        <w:spacing w:after="0" w:line="1" w:lineRule="exact"/>
        <w:rPr>
          <w:sz w:val="20"/>
          <w:szCs w:val="20"/>
          <w:color w:val="auto"/>
        </w:rPr>
      </w:pPr>
    </w:p>
    <w:p>
      <w:pPr>
        <w:ind w:left="860" w:right="20" w:hanging="488"/>
        <w:spacing w:after="0" w:line="250" w:lineRule="auto"/>
        <w:tabs>
          <w:tab w:leader="none" w:pos="8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6,500 ordinary shares beneficially owned and (ii) no ordinary shares issuable upon the exercise of options that are exercisable within 60 days of December 31, 2024.</w:t>
      </w:r>
    </w:p>
    <w:p>
      <w:pPr>
        <w:spacing w:after="0" w:line="1" w:lineRule="exact"/>
        <w:rPr>
          <w:sz w:val="20"/>
          <w:szCs w:val="20"/>
          <w:color w:val="auto"/>
        </w:rPr>
      </w:pPr>
    </w:p>
    <w:p>
      <w:pPr>
        <w:ind w:left="860" w:hanging="488"/>
        <w:spacing w:after="0" w:line="250" w:lineRule="auto"/>
        <w:tabs>
          <w:tab w:leader="none" w:pos="8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no ordinary shares beneficially owned and (ii) 100,000 ordinary shares issuable upon the exercise of options that are exercisable within 60 days of December 31, 2024.</w:t>
      </w:r>
    </w:p>
    <w:p>
      <w:pPr>
        <w:spacing w:after="0" w:line="1" w:lineRule="exact"/>
        <w:rPr>
          <w:sz w:val="20"/>
          <w:szCs w:val="20"/>
          <w:color w:val="auto"/>
        </w:rPr>
      </w:pPr>
    </w:p>
    <w:p>
      <w:pPr>
        <w:ind w:left="860" w:hanging="488"/>
        <w:spacing w:after="0" w:line="260" w:lineRule="auto"/>
        <w:tabs>
          <w:tab w:leader="none" w:pos="8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373,133 ordinary shares beneficially owned and (ii) no ordinary shares issuable upon the exercise of options that are exercisable within 60 days of December 31, 2024.</w:t>
      </w:r>
    </w:p>
    <w:p>
      <w:pPr>
        <w:spacing w:after="0" w:line="17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Since January 1, 2022, we have engaged in the following transactions in which the amounts involved exceeded US$120,000 and any of our directors, executive officers or holders of more than 5% of our voting securities, or any member of the immediate family of, or person sharing the household with, the foregoing persons, had or will have a direct or indirect material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Executive Officer Compensation</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 — B. Compensation” for information regarding compensation of our executive officers and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Master Services Agreement with ABX-CRO</w:t>
      </w:r>
    </w:p>
    <w:p>
      <w:pPr>
        <w:spacing w:after="0" w:line="229" w:lineRule="exact"/>
        <w:rPr>
          <w:sz w:val="20"/>
          <w:szCs w:val="20"/>
          <w:color w:val="auto"/>
        </w:rPr>
      </w:pPr>
    </w:p>
    <w:p>
      <w:pPr>
        <w:ind w:left="20" w:right="200"/>
        <w:spacing w:after="0" w:line="254" w:lineRule="auto"/>
        <w:rPr>
          <w:sz w:val="20"/>
          <w:szCs w:val="20"/>
          <w:color w:val="auto"/>
        </w:rPr>
      </w:pPr>
      <w:r>
        <w:rPr>
          <w:rFonts w:ascii="Times New Roman" w:cs="Times New Roman" w:eastAsia="Times New Roman" w:hAnsi="Times New Roman"/>
          <w:sz w:val="18"/>
          <w:szCs w:val="18"/>
          <w:color w:val="auto"/>
        </w:rPr>
        <w:t>ABX-CRO is a clinical research organization that specializes in radiopharmaceutical product development. We have entered into a master services agreement with ABX-CRO for the provision of clinical and analytical services for its programs. Dr. Andreas Kluge, a former non-executive director who retired from our board of directors on October 17, 2024, is the principal owner and Managing Director of ABX-CRO. During the year ended December 31, 2022, the ZIRCON trial was extended to increase patients from 248 to 300 and ABX-CRO resumed key site monitoring activities when COVID restrictions were lifted at hospitals. During the year ended December 31, 2022, the total amount paid, including the ZIRCON trial support, was A$3,685,543. In the year ended December 31, 2023, ABX-CRO was engaged to perform close-out activities relating to the ZIRCON trial, and the total amount paid to ABX-CRO was A$1,256,490. During the year ended December 31, 2024, ABX-CRO continued to perform close out activities relating to the ZIRCON trial, including delivery of dosimetry, PK evaluation, and the imaging report, and the total amount paid to ABX-CRO was A$778,617. The transactions with ABX-CRO are reviewed on an ongoing basis by the Audit and Risk Committee in accordance with Australian law.</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Consultancy Agreement with Dr. Andreas Kluge</w:t>
      </w:r>
    </w:p>
    <w:p>
      <w:pPr>
        <w:spacing w:after="0" w:line="229" w:lineRule="exact"/>
        <w:rPr>
          <w:sz w:val="20"/>
          <w:szCs w:val="20"/>
          <w:color w:val="auto"/>
        </w:rPr>
      </w:pPr>
    </w:p>
    <w:p>
      <w:pPr>
        <w:jc w:val="both"/>
        <w:ind w:left="20" w:right="140"/>
        <w:spacing w:after="0" w:line="266" w:lineRule="auto"/>
        <w:rPr>
          <w:sz w:val="20"/>
          <w:szCs w:val="20"/>
          <w:color w:val="auto"/>
        </w:rPr>
      </w:pPr>
      <w:r>
        <w:rPr>
          <w:rFonts w:ascii="Times New Roman" w:cs="Times New Roman" w:eastAsia="Times New Roman" w:hAnsi="Times New Roman"/>
          <w:sz w:val="18"/>
          <w:szCs w:val="18"/>
          <w:color w:val="auto"/>
        </w:rPr>
        <w:t>Following Dr. Kluge’s retirement from our board of directors on October 17, 2024, Dr. Kluge was engaged by us on a consultancy basis and will continue to provide the board of directors strategic advice alongside clinical input into key development programs. During the year ended December 31, 2024, the total amount payable as part of this consultancy agreement was €15,000.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QDOSE Platform Partnership with ABX-CRO</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March 2024, we entered into an agreement to commercially partner the QDOSE dosimetry software platform with ABX-CRO and its development partner, Quantinm AB. QDOSE is a software platform designed to enable reliable estimation of patient-specific dosimetry for both therapeutic and diagnostic radiopharmaceuticals. We agreed to pay ABX-CRO upfront cash consideration of €1.2 million, a share of profits generated from QDOSE sales and a referral fee on deals referred from or initiated by ABX-CRO for two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Constitution provides that, except to the extent prohibited by law including under the Australian Corporations Act, we must indemnify every person who is or has been a director, alternate director or executive officer of the Company and such other officers or former officers of the Company or of its related bodies corporate as the board of directors in each case determines against all losses, liabilities, costs, charges and expenses incurred by that person as a director or officer.</w:t>
      </w:r>
    </w:p>
    <w:p>
      <w:pPr>
        <w:sectPr>
          <w:pgSz w:w="11900" w:h="16838" w:orient="portrait"/>
          <w:cols w:equalWidth="0" w:num="1">
            <w:col w:w="11240"/>
          </w:cols>
          <w:pgMar w:left="320" w:top="116"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221" w:name="page222"/>
    <w:bookmarkEnd w:id="2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entered into Deeds of Indemnity, Insurance and Access, or Indemnity Deeds, with H Kevin McCann, Mark Nelson, Tiffany Olson, Jann Skinner and Christian Behrenbruch, and Deeds of Indemnity and Insurance with Darren Smith, David Cade and Darren Patti. Under the Indemnity Deeds, we have agreed to indemnify (to the maximum extent permitted under Australian law and our Constitution, subject to certain specified exceptions) each director and executive officer against all liabilities incurred in their capacity as our or our subsidiaries’ director or officer and any and all costs and expenses relating to such a claim or to any notified event incurred by such director or executive officer, including costs and expenses reasonably and necessarily incurred to mitigate any liability for such a claim or any claim which may arise from such a notified event. The Indemnity Deeds provide that the indemnities are unlimited as to amount, continuous and irrevocable.</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Separately, we have obtained insurance for our directors and executive officers, as required by the Indemnity Deeds. 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 Policy</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comply with Australian law and the ASX Listing Rules regarding approval of transactions with related parties. Our Audit and Risk Committee is responsible for reviewing and monitoring the propriety of related party transactions, as set out in the Audit and Risk Committee Charter.</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Effective upon the listing of our ADSs on Nasdaq, we amended our related party transaction policy to set forth our procedures for the identification, review, consideration and approval or ratification of related party transactions to comply with SEC and Nasdaq Listing Rules. For purposes of our policy, a related party transaction is a transaction, arrangement or similar contractual relationship, or any series of similar transactions, arrangements or relationships, in which we and any related party are, were or will be participants and the amount involved in the transaction exceeds US$120,000, with the exception of usual transactions concluded under normal conditions. A related party is any member of our board of directors, our executive officers or any beneficial owner of more than 5% of any class of our ordinary shares, including any of their immediate family members and any entity owned or controlled by such persons.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party transaction, including any transaction that was not a related party transaction when originally consummated or any transaction that was not initially identified as a related party transaction prior to consummation, our executive officers must present information regarding the related party transaction to the chief financial officer and the transaction will be subject to review, consideration and approval by the Audit and Risk Committee or, if required, the Board. The presentation must include a description of, among other things, the material facts, the interests, direct and indirect, of the related party,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member of our board of directors and executive officers to enable us to identify any existing or potential related-person transactions and to effectuate the terms of the policy.</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All of the transactions described above were entered into prior to the effective date of the amended written policy, but our board of directors evaluated and approved all transactions that were considered to be related party transactions under Australian law and the ASX Listing Rules at the time at which they were consummated.</w:t>
      </w:r>
    </w:p>
    <w:p>
      <w:pPr>
        <w:spacing w:after="0" w:line="172" w:lineRule="exact"/>
        <w:rPr>
          <w:sz w:val="20"/>
          <w:szCs w:val="20"/>
          <w:color w:val="auto"/>
        </w:rPr>
      </w:pPr>
    </w:p>
    <w:p>
      <w:pPr>
        <w:ind w:left="400" w:hanging="392"/>
        <w:spacing w:after="0"/>
        <w:tabs>
          <w:tab w:leader="none" w:pos="40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Interests of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ind w:left="400" w:hanging="392"/>
        <w:spacing w:after="0"/>
        <w:tabs>
          <w:tab w:leader="none" w:pos="40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18. Financial Statements” for our consolidated financial statements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or investigations. From time to time, we may become involved in other litigation or legal proceedings, particularly relevant to defending our IP rights or in response to or relating to claims arising from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7"/>
          <w:szCs w:val="17"/>
          <w:color w:val="auto"/>
        </w:rPr>
        <w:t>Due to the stage of our company and the corporate objective of building and investing in our pipeline for the future, we have not declared or paid any cash dividends on our ordinary shares and do not currently intend to do so for the foreseeable future. We currently intend to invest our future earnings, if any, to fund our operations and pipeline development activities and build the capabilities of our business to drive growth and value accretion. Future dividends, if any, on our outstanding ordinary shares will be declared by and subject to the discretion of our board of directors, and subject to applicable Australian law.</w:t>
      </w:r>
    </w:p>
    <w:p>
      <w:pPr>
        <w:sectPr>
          <w:pgSz w:w="11900" w:h="16838" w:orient="portrait"/>
          <w:cols w:equalWidth="0" w:num="1">
            <w:col w:w="11240"/>
          </w:cols>
          <w:pgMar w:left="320" w:top="116" w:right="33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222" w:name="page223"/>
    <w:bookmarkEnd w:id="2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While we do not anticipate paying any cash dividends on our ordinary shares in the foreseeable future, if such a dividend is declared, any dividend that we may declare will be paid to the holders of ADSs, subject to the terms of the deposit agreement, to the same extent as holders of our ordinary shares, to the extent permitted by applicable law and regulations, less the fees and expenses payable under the deposit agreement. Any dividend we declare will be distributed by the depositary bank to the holders of the ADSs, subject to the terms of the deposit agreement. See “Item 12. Description of Securities Other Than Equity Securities — D. American Depositary Shares.”</w:t>
      </w:r>
    </w:p>
    <w:p>
      <w:pPr>
        <w:spacing w:after="0" w:line="179" w:lineRule="exact"/>
        <w:rPr>
          <w:sz w:val="20"/>
          <w:szCs w:val="20"/>
          <w:color w:val="auto"/>
        </w:rPr>
      </w:pPr>
    </w:p>
    <w:p>
      <w:pPr>
        <w:ind w:left="400" w:hanging="392"/>
        <w:spacing w:after="0"/>
        <w:tabs>
          <w:tab w:leader="none" w:pos="40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this annual report, no significant change has occurred since the date of the most recent financial statements included in this annual report.</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225" w:lineRule="exact"/>
        <w:rPr>
          <w:sz w:val="20"/>
          <w:szCs w:val="20"/>
          <w:color w:val="auto"/>
        </w:rPr>
      </w:pPr>
    </w:p>
    <w:p>
      <w:pPr>
        <w:ind w:left="400" w:hanging="392"/>
        <w:spacing w:after="0"/>
        <w:tabs>
          <w:tab w:leader="none" w:pos="40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 and Listing Details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principal trading market for our ordinary shares is the ASX in Australia, where our ordinary shares have been listed since 2017. Our ordinary shares trade under the symbol “TLX.”</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Since November 13, 2024, our ADSs have been listed on the Nasdaq Global Market, where they trade under the symbol “TLX.” Each ADS represents one of our ordinary shares. JPMorgan Chase Bank, N.A., is the depositary for the ADSs.</w:t>
      </w:r>
    </w:p>
    <w:p>
      <w:pPr>
        <w:spacing w:after="0" w:line="158" w:lineRule="exact"/>
        <w:rPr>
          <w:sz w:val="20"/>
          <w:szCs w:val="20"/>
          <w:color w:val="auto"/>
        </w:rPr>
      </w:pPr>
    </w:p>
    <w:p>
      <w:pPr>
        <w:ind w:left="400" w:hanging="392"/>
        <w:spacing w:after="0"/>
        <w:tabs>
          <w:tab w:leader="none" w:pos="40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0" w:hanging="392"/>
        <w:spacing w:after="0"/>
        <w:tabs>
          <w:tab w:leader="none" w:pos="40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9. The Offer and Listing — A. Offer and Listing Details.”</w:t>
      </w:r>
    </w:p>
    <w:p>
      <w:pPr>
        <w:spacing w:after="0" w:line="221" w:lineRule="exact"/>
        <w:rPr>
          <w:sz w:val="20"/>
          <w:szCs w:val="20"/>
          <w:color w:val="auto"/>
        </w:rPr>
      </w:pPr>
    </w:p>
    <w:p>
      <w:pPr>
        <w:ind w:left="400" w:hanging="392"/>
        <w:spacing w:after="0"/>
        <w:tabs>
          <w:tab w:leader="none" w:pos="40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0" w:hanging="392"/>
        <w:spacing w:after="0"/>
        <w:tabs>
          <w:tab w:leader="none" w:pos="40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0" w:hanging="392"/>
        <w:spacing w:after="0"/>
        <w:tabs>
          <w:tab w:leader="none" w:pos="40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5" w:lineRule="exact"/>
        <w:rPr>
          <w:sz w:val="20"/>
          <w:szCs w:val="20"/>
          <w:color w:val="auto"/>
        </w:rPr>
      </w:pPr>
    </w:p>
    <w:p>
      <w:pPr>
        <w:ind w:left="400" w:hanging="392"/>
        <w:spacing w:after="0"/>
        <w:tabs>
          <w:tab w:leader="none" w:pos="40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0" w:hanging="392"/>
        <w:spacing w:after="0"/>
        <w:tabs>
          <w:tab w:leader="none" w:pos="40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Items 10.B.1 – 10.B.10, please refer to Item 10.B of our Registration Statement on Form 20-F, filed with the SEC on October 29, 2024, which is incorporated into this annual report by reference.</w:t>
      </w:r>
    </w:p>
    <w:p>
      <w:pPr>
        <w:spacing w:after="0" w:line="158" w:lineRule="exact"/>
        <w:rPr>
          <w:sz w:val="20"/>
          <w:szCs w:val="20"/>
          <w:color w:val="auto"/>
        </w:rPr>
      </w:pPr>
    </w:p>
    <w:p>
      <w:pPr>
        <w:ind w:left="400" w:hanging="392"/>
        <w:spacing w:after="0"/>
        <w:tabs>
          <w:tab w:leader="none" w:pos="40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Please see “Item 4. Information on the Company — B. Business Overview — Collaboration and License Agreements” and “Item 5. Operating and Financial Review and Prospects — B. Liquidity and Capital Resources” for a discussion of material contracts. Except as otherwise disclosed in this annual report (including the exhibits), we are not currently, and have not been in the preceding two years, party to any material contract, other than contracts entered into in the ordinary course of business.</w:t>
      </w:r>
    </w:p>
    <w:p>
      <w:pPr>
        <w:spacing w:after="0" w:line="176" w:lineRule="exact"/>
        <w:rPr>
          <w:sz w:val="20"/>
          <w:szCs w:val="20"/>
          <w:color w:val="auto"/>
        </w:rPr>
      </w:pPr>
    </w:p>
    <w:p>
      <w:pPr>
        <w:ind w:left="400" w:hanging="392"/>
        <w:spacing w:after="0"/>
        <w:tabs>
          <w:tab w:leader="none" w:pos="40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Australia has largely abolished exchange controls on investment transactions. The Australian dollar is freely convertible into U.S. dollars or other currencies. In addition, there are currently no specific rules or limitations regarding the export from Australia of profits, dividends, capital or similar funds belonging to foreign investors, except that certain payments to non-residents must be reported to the Australian Transaction Reports and Analysis Centre, or AUSTRAC, which monitors such transactions, and amounts on account of potential Australian tax liabilities may be required to be withheld unless a relevant taxation treaty can be shown to apply and under such there are either exemptions or limitations on the level of tax to be withheld.</w:t>
      </w:r>
    </w:p>
    <w:p>
      <w:pPr>
        <w:spacing w:after="0" w:line="3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400" w:hanging="392"/>
        <w:spacing w:after="0"/>
        <w:tabs>
          <w:tab w:leader="none" w:pos="40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is a summary of material U.S. federal and Australian income tax considerations to U.S. Holders, as defined below, of the acquisition, ownership and disposition of our ADSs and ordinary shares. This discussion is based on the laws in force as of the date of this annual report, and is subject to changes in the relevant tax law, including changes that could have retroactive effect. The following summary is not a comprehensive description of all U.S. federal or Australian tax considerations that may be relevant to a decision to acquire or dispose of ADSs or ordinary shares and does not take into account or discuss the tax laws of any country or other taxing jurisdiction other than the United States and Australia. Holders are advised to consult their tax advisors concerning the overall tax consequences of the acquisition, ownership and disposition of ADSs and ordinary shares in their particular circumstances. This discussion is not intended, and should not be construed, as legal or professional tax advice.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summary describes the material U.S. federal income tax consequences to a U.S. Holder (as defined below) of the acquisition, ownership and disposition of the ADSs and ordinary shares as of the date hereof. This summary is limited to U.S. Holders that hold the ADSs or ordinary shares as capital assets within the meaning of Section 1221 of the Internal Revenue Code of 1986, as amended, or the Code.</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summary does not address the Medicare tax on net investment income, the effects of U.S. federal estate and gift tax laws, alternative minimum taxes, or any state and local tax considerations. In addition, this section does not discuss the tax consequences to any particular holder or any tax considerations that may apply to U.S. Holders subject to special tax rules, such as:</w:t>
      </w:r>
    </w:p>
    <w:p>
      <w:pPr>
        <w:spacing w:after="0" w:line="176" w:lineRule="exact"/>
        <w:rPr>
          <w:sz w:val="20"/>
          <w:szCs w:val="20"/>
          <w:color w:val="auto"/>
        </w:rPr>
      </w:pPr>
    </w:p>
    <w:p>
      <w:pPr>
        <w:ind w:left="640" w:hanging="281"/>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7" w:lineRule="exact"/>
        <w:rPr>
          <w:rFonts w:ascii="Times New Roman" w:cs="Times New Roman" w:eastAsia="Times New Roman" w:hAnsi="Times New Roman"/>
          <w:sz w:val="18"/>
          <w:szCs w:val="18"/>
          <w:color w:val="auto"/>
        </w:rPr>
      </w:pPr>
    </w:p>
    <w:p>
      <w:pPr>
        <w:ind w:left="640" w:hanging="281"/>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w:t>
      </w:r>
    </w:p>
    <w:p>
      <w:pPr>
        <w:spacing w:after="0" w:line="9" w:lineRule="exact"/>
        <w:rPr>
          <w:rFonts w:ascii="Times New Roman" w:cs="Times New Roman" w:eastAsia="Times New Roman" w:hAnsi="Times New Roman"/>
          <w:sz w:val="18"/>
          <w:szCs w:val="18"/>
          <w:color w:val="auto"/>
        </w:rPr>
      </w:pPr>
    </w:p>
    <w:p>
      <w:pPr>
        <w:ind w:left="640" w:hanging="281"/>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pension plans, “individual retirement accounts” or “Roth IRAs”;</w:t>
      </w:r>
    </w:p>
    <w:p>
      <w:pPr>
        <w:spacing w:after="0" w:line="9" w:lineRule="exact"/>
        <w:rPr>
          <w:rFonts w:ascii="Times New Roman" w:cs="Times New Roman" w:eastAsia="Times New Roman" w:hAnsi="Times New Roman"/>
          <w:sz w:val="18"/>
          <w:szCs w:val="18"/>
          <w:color w:val="auto"/>
        </w:rPr>
      </w:pPr>
    </w:p>
    <w:p>
      <w:pPr>
        <w:ind w:left="640" w:hanging="281"/>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9" w:lineRule="exact"/>
        <w:rPr>
          <w:rFonts w:ascii="Times New Roman" w:cs="Times New Roman" w:eastAsia="Times New Roman" w:hAnsi="Times New Roman"/>
          <w:sz w:val="18"/>
          <w:szCs w:val="18"/>
          <w:color w:val="auto"/>
        </w:rPr>
      </w:pPr>
    </w:p>
    <w:p>
      <w:pPr>
        <w:ind w:left="640" w:hanging="281"/>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9" w:lineRule="exact"/>
        <w:rPr>
          <w:rFonts w:ascii="Times New Roman" w:cs="Times New Roman" w:eastAsia="Times New Roman" w:hAnsi="Times New Roman"/>
          <w:sz w:val="18"/>
          <w:szCs w:val="18"/>
          <w:color w:val="auto"/>
        </w:rPr>
      </w:pPr>
    </w:p>
    <w:p>
      <w:pPr>
        <w:ind w:left="640" w:hanging="281"/>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are former U.S. citizens or former long-term U.S. residents;</w:t>
      </w:r>
    </w:p>
    <w:p>
      <w:pPr>
        <w:spacing w:after="0" w:line="9" w:lineRule="exact"/>
        <w:rPr>
          <w:rFonts w:ascii="Times New Roman" w:cs="Times New Roman" w:eastAsia="Times New Roman" w:hAnsi="Times New Roman"/>
          <w:sz w:val="18"/>
          <w:szCs w:val="18"/>
          <w:color w:val="auto"/>
        </w:rPr>
      </w:pPr>
    </w:p>
    <w:p>
      <w:pPr>
        <w:ind w:left="640" w:hanging="281"/>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commodities or currencies;</w:t>
      </w:r>
    </w:p>
    <w:p>
      <w:pPr>
        <w:spacing w:after="0" w:line="9" w:lineRule="exact"/>
        <w:rPr>
          <w:rFonts w:ascii="Times New Roman" w:cs="Times New Roman" w:eastAsia="Times New Roman" w:hAnsi="Times New Roman"/>
          <w:sz w:val="18"/>
          <w:szCs w:val="18"/>
          <w:color w:val="auto"/>
        </w:rPr>
      </w:pPr>
    </w:p>
    <w:p>
      <w:pPr>
        <w:ind w:left="640" w:hanging="281"/>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9" w:lineRule="exact"/>
        <w:rPr>
          <w:rFonts w:ascii="Times New Roman" w:cs="Times New Roman" w:eastAsia="Times New Roman" w:hAnsi="Times New Roman"/>
          <w:sz w:val="18"/>
          <w:szCs w:val="18"/>
          <w:color w:val="auto"/>
        </w:rPr>
      </w:pPr>
    </w:p>
    <w:p>
      <w:pPr>
        <w:ind w:left="640" w:right="360" w:hanging="281"/>
        <w:spacing w:after="0" w:line="250" w:lineRule="auto"/>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described below, persons holding the ADSs or ordinary shares through a partnership (including an entity or arrangement treated as a partnership for U.S. federal income tax purposes) or S corporation;</w:t>
      </w:r>
    </w:p>
    <w:p>
      <w:pPr>
        <w:ind w:left="640" w:hanging="281"/>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ADSs or ordinary shares as compensation for the performance of services;</w:t>
      </w:r>
    </w:p>
    <w:p>
      <w:pPr>
        <w:spacing w:after="0" w:line="9" w:lineRule="exact"/>
        <w:rPr>
          <w:rFonts w:ascii="Times New Roman" w:cs="Times New Roman" w:eastAsia="Times New Roman" w:hAnsi="Times New Roman"/>
          <w:sz w:val="18"/>
          <w:szCs w:val="18"/>
          <w:color w:val="auto"/>
        </w:rPr>
      </w:pPr>
    </w:p>
    <w:p>
      <w:pPr>
        <w:ind w:left="640" w:right="480" w:hanging="281"/>
        <w:spacing w:after="0" w:line="250" w:lineRule="auto"/>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ADSs or ordinary shares as a position in a straddle or as part of a hedging, constructive sale, conversion or other integrated transaction for U.S. federal income tax purposes;</w:t>
      </w:r>
    </w:p>
    <w:p>
      <w:pPr>
        <w:ind w:left="640" w:hanging="281"/>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have a functional currency other than the U.S. dollar;</w:t>
      </w:r>
    </w:p>
    <w:p>
      <w:pPr>
        <w:spacing w:after="0" w:line="9" w:lineRule="exact"/>
        <w:rPr>
          <w:rFonts w:ascii="Times New Roman" w:cs="Times New Roman" w:eastAsia="Times New Roman" w:hAnsi="Times New Roman"/>
          <w:sz w:val="18"/>
          <w:szCs w:val="18"/>
          <w:color w:val="auto"/>
        </w:rPr>
      </w:pPr>
    </w:p>
    <w:p>
      <w:pPr>
        <w:ind w:left="640" w:hanging="281"/>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 or</w:t>
      </w:r>
    </w:p>
    <w:p>
      <w:pPr>
        <w:spacing w:after="0" w:line="9" w:lineRule="exact"/>
        <w:rPr>
          <w:rFonts w:ascii="Times New Roman" w:cs="Times New Roman" w:eastAsia="Times New Roman" w:hAnsi="Times New Roman"/>
          <w:sz w:val="18"/>
          <w:szCs w:val="18"/>
          <w:color w:val="auto"/>
        </w:rPr>
      </w:pPr>
    </w:p>
    <w:p>
      <w:pPr>
        <w:ind w:left="640" w:hanging="281"/>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(directly, indirectly or constructively) 10% or more of our equity (by vote or value).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section, a “U.S. Holder” means a beneficial owner of our ADSs or ordinary shares that is, for U.S. federal income tax purposes:</w:t>
      </w:r>
    </w:p>
    <w:p>
      <w:pPr>
        <w:spacing w:after="0" w:line="225" w:lineRule="exact"/>
        <w:rPr>
          <w:sz w:val="20"/>
          <w:szCs w:val="20"/>
          <w:color w:val="auto"/>
        </w:rPr>
      </w:pPr>
    </w:p>
    <w:p>
      <w:pPr>
        <w:ind w:left="640" w:hanging="281"/>
        <w:spacing w:after="0"/>
        <w:tabs>
          <w:tab w:leader="none" w:pos="6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7" w:lineRule="exact"/>
        <w:rPr>
          <w:rFonts w:ascii="Times New Roman" w:cs="Times New Roman" w:eastAsia="Times New Roman" w:hAnsi="Times New Roman"/>
          <w:sz w:val="18"/>
          <w:szCs w:val="18"/>
          <w:color w:val="auto"/>
        </w:rPr>
      </w:pPr>
    </w:p>
    <w:p>
      <w:pPr>
        <w:ind w:left="640" w:right="300" w:hanging="281"/>
        <w:spacing w:after="0" w:line="250" w:lineRule="auto"/>
        <w:tabs>
          <w:tab w:leader="none" w:pos="6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United States or any state thereof or the District of Columbia;</w:t>
      </w:r>
    </w:p>
    <w:p>
      <w:pPr>
        <w:ind w:left="640" w:hanging="281"/>
        <w:spacing w:after="0"/>
        <w:tabs>
          <w:tab w:leader="none" w:pos="6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9" w:lineRule="exact"/>
        <w:rPr>
          <w:rFonts w:ascii="Times New Roman" w:cs="Times New Roman" w:eastAsia="Times New Roman" w:hAnsi="Times New Roman"/>
          <w:sz w:val="18"/>
          <w:szCs w:val="18"/>
          <w:color w:val="auto"/>
        </w:rPr>
      </w:pPr>
    </w:p>
    <w:p>
      <w:pPr>
        <w:ind w:left="640" w:hanging="281"/>
        <w:spacing w:after="0" w:line="255" w:lineRule="auto"/>
        <w:tabs>
          <w:tab w:leader="none" w:pos="6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court in the United States and for which one or more U.S. persons has the authority to control all substantial decisions or (ii) that has an election in effect under applicable U.S. Treasury regulations to be treated as a U.S. person for U.S. federal income tax purposes.</w:t>
      </w:r>
    </w:p>
    <w:p>
      <w:pPr>
        <w:spacing w:after="0" w:line="1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not received, nor do we expect to seek, a ruling from the U.S. Internal Revenue Service, or the IRS, regarding any matter discussed herein. No assurance can be given that the IRS would not assert, or that a court would not sustain, a position contrary to any of those set forth below. Each prospective investor should consult its own tax advisors with respect to the U.S. federal, state and local and non-U.S. tax consequences of acquiring, owning and disposing of the ADSs and ordinary shares.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acquires, owns or disposes of ADSs or ordinary shares, the U.S. federal income tax treatment of a partner in such partnership generally will depend on the status of the partner and the activities of the partnership. Such a partner or partnership should consult its own tax advisor as to the U.S. federal income tax consequences of acquiring, owning and disposing of the ADSs or ordinary shares.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discussion below is based upon the provisions of the Code, existing and proposed U.S. Treasury regulations, published rulings and judicial decisions, all as of the date hereof. Such authorities may be replaced, revoked or modified, possibly with retroactive effect, so as to result in U.S. federal income tax consequences different from those discussed below. In addition, this summary is based, in part, upon representations made by the depositary to us and assumes that the deposit agreement, and all other related agreements, will be performed in accordance with their terms.</w:t>
      </w:r>
    </w:p>
    <w:p>
      <w:pPr>
        <w:sectPr>
          <w:pgSz w:w="11900" w:h="16838" w:orient="portrait"/>
          <w:cols w:equalWidth="0" w:num="1">
            <w:col w:w="11240"/>
          </w:cols>
          <w:pgMar w:left="320" w:top="116"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225" w:name="page226"/>
    <w:bookmarkEnd w:id="2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YOU ARE URGED TO CONSULT YOUR OWN TAX ADVISOR WITH RESPECT TO THE U.S. FEDERAL, AS WELL AS STATE, LOCAL AND NON-U.S. TAX CONSEQUENCES TO YOU OF ACQUIRING, OWNING AND DISPOSING OF ADSs OR ORDINARY SHARES IN LIGHT OF YOUR PARTICULAR CIRCUMSTANCES, INCLUDING THE POSSIBLE EFFECTS OF CHANGES IN U.S. FEDERAL AND OTHER TAX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Assuming that the representations contained in the deposit agreement are true and that the obligations in the deposit agreement will be complied with in accordance with their terms, a U.S. Holder of ADSs generally will be treated for U.S. federal income tax purposes as the owner of the underlying ordinary shares that are represented by such ADSs. Accordingly, no gain or loss will be recognized for U.S. federal income tax purposes if a U.S. Holder exchanges ADSs for the underlying ordinary shares represented by those ADSs.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described below in “– F. Dividends and Paying Agents,” we do not currently anticipate paying any distributions on the ADSs or ordinary shares in the foreseeable future. However, to the extent there are any distributions made with respect to the ADSs or ordinary shares, and subject to the PFIC rules discussed below, the gross amount of any such distributions made out of our current or accumulated earnings and profits (as determined for U.S. federal income tax purposes) will generally be taxable to a U.S. Holder as ordinary dividend income on the date such distribution is actually or constructively received. Distributions in excess of our current and accumulated earnings and profits, as so determined, will be treated first as a tax-free return of capital to the extent of the U.S. Holder’s adjusted tax basis in the ADSs or ordinary shares, as applicable, and thereafter, as capital gain. However, because we do not intend to calculate our earnings and profits under U.S. federal income tax principles, it is expected, and U.S. Holders should assume, that any distribution will be reported as a dividend and will constitute ordinary dividend income to a U.S. Holder. Any dividends will generally be treated as foreign-source and will not be eligible for the dividends-received deduction generally allowed to corporate U.S. Holders.</w:t>
      </w:r>
    </w:p>
    <w:p>
      <w:pPr>
        <w:spacing w:after="0" w:line="18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Subject to the discussion under “—Passive Foreign Investment Company Considerations,” below, dividends paid to non-corporate U.S. Holders may qualify as “qualified dividend income” eligible for the preferential rates of taxation applicable to long-term capital gains if we are a “qualified foreign corporation” and certain other requirements (discussed below) are met. We generally will be considered to be a qualified foreign corporation (i) if we are eligible for the benefits of the Convention between the Government of the United States of America and the Government of Australia for the Avoidance of Double Taxation and the Prevention of Fiscal Evasion with Respect to Taxes on Income, signed on August 6, 1982, as amended and currently in force, or the U.S.-Australia Tax Treaty, or (ii) the ADSs or our ordinary shares are readily tradable on an established securities market in the United States. In addition, we believe that we qualify as a resident of Australia for purposes of, and are eligible for the benefits of, the U.S.-Australia Tax Treaty, although there can be no assurance in this regard. Therefore, subject to the discussion under “— Passive Foreign Investment Company Considerations,” below, any dividends on the ADSs or our ordinary shares generally will be “qualified dividend income” in the hands of individual U.S. Holders, provided that a holding period requirement (more than 60 days of ownership, without protection from the risk of loss, during the 121-day period beginning 60 days before the ex-dividend date) and certain other requirements are met.</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Distributions paid in Australian dollars, including any Australian taxes withheld, will be included in a U.S. Holder’s gross income in a U.S. dollar amount calculated by reference to the spot exchange rate in effect on the date of actual or constructive receipt, regardless of whether the Australian dollars are converted into U.S. dollars at that time. A U.S. Holder will have a tax basis in the Australian dollars equal to their U.S. dollar value on the date of receipt. As a result, if a U.S. Holder converts the Australian dollars into U.S. dollars on the date of receipt, such U.S. Holder generally should not be required to recognize any foreign exchange gain or loss. If Australian dollars so received are not converted into U.S. dollars on the date of receipt, any gain or loss on a subsequent conversion or other disposition of the Australian dollars generally will be treated as ordinary income or loss and generally will be income or loss from sources within the United States for foreign tax credit limitation purposes.</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Subject to certain limitations, a U.S. Holder may be able to claim as a credit against its U.S. federal income tax liability the amount of any Australian tax withheld from any dividends at a rate not exceeding an applicable rate under the U.S.-Australia Tax Treaty. Alternatively, a U.S. Holder may be able to deduct such Australian taxes from its U.S. federal taxable income, provided that the U.S. Holder elects to deduct rather than credit all foreign income taxes paid or accrued for the relevant taxable year. The rules governing U.S. foreign tax credits are complex and U.S. Treasury Regulations may further restrict the availability of any such credit based on the nature of the withholding tax imposed by the foreign jurisdiction. A notice from the IRS indicates that the IRS is considering proposing amendments to such foreign tax credit regulations. Each U.S. Holder should consult its tax advisors regarding the foreign tax credit rules, including regarding the availability of such credit or deductions.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Disposition of ADSs or Ordinary Shares</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for U.S. federal income tax purposes upon the sale or other taxable disposition of the ADSs or the ordinary shares in an amount equal to the difference between the U.S. dollar value of the amount realized from such disposition and the U.S. Holder’s adjusted tax basis in those ADSs or ordinary shares, determined in U.S. dollars. Subject to the discussion under “—Passive Foreign Investment Company Considerations” below, any such gain or loss generally will be a capital gain or loss, and will be long-term capital gain or loss if the U.S. Holder’s holding period for such ADSs or ordinary shares is more than one year at the time of such disposition. A U.S. Holder’s adjusted tax basis in the ADSs or ordinary shares generally will be equal to the amount paid for such ADSs or ordinary shares. Any long-term capital gain from the disposition of the ADSs or our ordinary shares by a non-corporate U.S. Holder generally is eligible for a preferential rate of taxation. The deductibility of capital losses for U.S. federal income tax purposes is subject to limitations. Any such gain or loss that a U.S. Holder recognizes generally will be treated as U.S.-source gain or loss for foreign tax credit limitation purposes. U.S. Holders should consult their tax advisors regarding the tax consequences if Australian taxes are imposed on or in connection with a sale, exchange or other disposition of the ADSs or the ordinary shares and their ability to credit any Australian tax against their U.S. federal income tax liability.</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case of a U.S. Holder that is a cash basis taxpayer, any units of foreign currency received on a disposition of the ADSs or our ordinary shares are translated into U.S. dollars at the spot exchange rate on the settlement date of the disposition if the ADSs or ordinary shares disposed of are treated as traded on an established securities market. In such case, no foreign currency exchange gain or loss will result for a cash basis taxpayer from currency fluctuations between the trade date and the settlement date of such a disposition. An accrual basis taxpayer may elect the same treatment required of cash basis taxpayers with respect to dispositions of the ADSs or our ordinary shares that are traded on an established securities market, provided the election is applied consistently from year to year. Such election may not be changed without the consent of the IRS. If an accrual basis taxpayer does not make such election, or if the ADSs or our ordinary shares are not treated as traded on an established securities market, any units of foreign currency received on a disposition of the ADSs or our ordinary shares are translated into U.S. dollars at the spot exchange rate on the trade date of the disposition. In such case, the taxpayer may recognize exchange gain or loss based on currency fluctuations between the trade date and the settlement date. Any foreign currency gain or loss a U.S. Holder recognizes will be U.S.-source ordinary income or loss.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we are classified as a PFIC in any taxable year, certain adverse tax consequences could apply to U.S. Holders as a result of that classification. We generally will be classified as a PFIC for any taxable year if (i) at least 75% of our gross income for the taxable year consists of certain types of passive income, or (ii) at least 50% of our gross assets during the taxable year, based on a quarterly average and generally determined by value, produce or are held for the production of passive income. Passive income for this purpose generally includes, among other things, dividends, interest, rents, royalties, gains from commodities and securities transactions and gains from the disposition of assets that produce or are held for the production of passive income. Assets that produce or are held for the production of passive income generally include cash, even if held as working capital or raised in a public offering, marketable securities and other assets that may produce passive income. In determining whether we are a PFIC, we will be treated as owning our proportionate share of the assets and earning our proportionate share of the income of each corporation in which we own, directly or indirectly, at least a 25% interest (by value).</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Based on the expected nature and amount of our estimated gross income, the anticipated nature and estimated average value of our gross assets, the anticipated cash needs of our group’s operations and the nature and extent of the active businesses conducted by our “25% or greater” owned subsidiaries, we do not expect that we will be classified as a PFIC in the current taxable year or for the foreseeable future. However, the determination of our PFIC status for any taxable year will not be determinable until after the end of the taxable year, and will depend on, among other things, the composition of our income and assets (which could change significantly during the course of a taxable year) and the market value of our assets for such taxable year, which may be, in part, based on the market price of the ADSs or ordinary shares (which could be volatile). Accordingly, there can be no assurance that we will not be a PFIC for our current or any future taxable year. U.S. Holders should consult their own tax advisors regarding our PFIC status.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ADSs or ordinary shares, absent certain elections (including the mark-to-market election or qualified electing fund election described below), such U.S. Holder generally will be subject to adverse rules (regardless of whether we continue to be classified as a PFIC) with respect to (i) any “excess distribution” that we make to such U.S. Holder (generally, any distributions on the ADSs or ordinary shares in a taxable year that are greater than 125% of the average annual distributions received by such U.S. Holder in the three preceding taxable years or, if shorter, the U.S. Holder’s holding period) and (ii) any gain recognized from a sale or other disposition (including a pledge) of such ADSs or ordinary shares. Under these special tax rules:</w:t>
      </w:r>
    </w:p>
    <w:p>
      <w:pPr>
        <w:spacing w:after="0" w:line="187" w:lineRule="exact"/>
        <w:rPr>
          <w:sz w:val="20"/>
          <w:szCs w:val="20"/>
          <w:color w:val="auto"/>
        </w:rPr>
      </w:pPr>
    </w:p>
    <w:p>
      <w:pPr>
        <w:ind w:left="640" w:hanging="281"/>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ordinary shares;</w:t>
      </w:r>
    </w:p>
    <w:p>
      <w:pPr>
        <w:spacing w:after="0" w:line="27" w:lineRule="exact"/>
        <w:rPr>
          <w:rFonts w:ascii="Times New Roman" w:cs="Times New Roman" w:eastAsia="Times New Roman" w:hAnsi="Times New Roman"/>
          <w:sz w:val="18"/>
          <w:szCs w:val="18"/>
          <w:color w:val="auto"/>
        </w:rPr>
      </w:pPr>
    </w:p>
    <w:p>
      <w:pPr>
        <w:ind w:left="640" w:right="220" w:hanging="281"/>
        <w:spacing w:after="0" w:line="250" w:lineRule="auto"/>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 prior to the first taxable year in which we were classified as a PFIC will be treated as ordinary income arising in the current taxable year (and would not be subject to the interest charge discussed below); and</w:t>
      </w:r>
    </w:p>
    <w:p>
      <w:pPr>
        <w:ind w:left="640" w:right="100" w:hanging="281"/>
        <w:spacing w:after="0" w:line="255" w:lineRule="auto"/>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other taxable year will be subject to income tax at the highest marginal tax rate in effect for individuals or corporations, as applicable, for such year, and the interest charge generally applicable to underpayments of tax will be imposed with respect to the resulting tax attributable to each such year.</w:t>
      </w:r>
    </w:p>
    <w:p>
      <w:pPr>
        <w:sectPr>
          <w:pgSz w:w="11900" w:h="16838" w:orient="portrait"/>
          <w:cols w:equalWidth="0" w:num="1">
            <w:col w:w="11240"/>
          </w:cols>
          <w:pgMar w:left="320" w:top="116"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227" w:name="page228"/>
    <w:bookmarkEnd w:id="2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non-corporate U.S. Holders will not be eligible for reduced rates of taxation applicable to “qualified dividend income” on any dividends that we pay if we are a PFIC for either the taxable year in which the dividend is paid or the preceding year.</w:t>
      </w:r>
    </w:p>
    <w:p>
      <w:pPr>
        <w:spacing w:after="0" w:line="16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If we are classified as a PFIC in any taxable year with respect to which a U.S. Holder owns ADSs or ordinary shares, we generally will continue to be treated as a PFIC with respect to such U.S. Holder in all succeeding taxable years, regardless of whether we continue to be classified as a PFIC under the tests described above, unless we cease to be classified as a PFIC and such U.S. Holder makes a “deemed sale” election. If we cease to be classified as a PFIC and a U.S. Holder makes the “deemed sale” election, such U.S. Holder will be deemed to have sold our ADSs or ordinary shares at their fair market value on the last day of the last taxable year in which we were classified as a PFIC, and any gain recognized from such deemed sale would be taxed under the PFIC excess distribution regime described above. After the “deemed sale” election, a U.S. Holder’s ADSs or ordinary shares would not be treated as shares of a PFIC unless we subsequently become a PFIC.</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ordinary shares, and one of our non-U.S. subsidiaries is also a PFIC (i.e., a lower-tier PFIC), such U.S. Holder would be treated as owning a proportionate amount (by value) of the shares of the lower-tier PFIC and would be taxed under the PFIC excess distribution regime on distributions by the lower-tier PFIC and on gain from the disposition of shares of the lower-tier PFIC even though such U.S. Holder would not receive the proceeds of those distributions or dispositions.</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If a U.S. Holder owns ADSs or our ordinary shares during any taxable year in which we are a PFIC, such U.S. Holder generally will be required to file an IRS Form 8621 (Information Return by a Shareholder of a Passive Foreign Investment Company or Qualified Electing Fund) with respect to us, generally with its U.S. federal income tax return for that year. U.S. Holders should consult their tax advisors regarding any annual filing requirements.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are a PFIC, a U.S. Holder will not be subject to tax under the PFIC excess distribution regime on distributions or gain recognized on our ADSs or ordinary shares if a valid “mark-to-market” election is made by the U.S. Holder for our ADSs or ordinary shares, provided that the ADSs or ordinary shares held by such U.S. Holder are “marketable.”</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a U.S. Holder makes a mark-to-market election, it must include in gross income, as ordinary income, for each taxable year that we are a PFIC an amount equal to the excess, if any, of the fair market value of the ADSs or ordinary shares that are “marketable stock” at the close of the taxable year over such U.S. Holder’s adjusted tax basis in such ADSs or ordinary shares. If a U.S. Holder makes such election, it may also claim a deduction as an ordinary loss in each such year for the excess, if any, of such U.S. Holder’s adjusted tax basis in such ADSs or ordinary shares over their fair market value at the end of the year, but only to the extent of the net amount previously included in income as a result of the mark-to-market election. The U.S. Holder’s adjusted tax basis in the ADSs or ordinary shares with respect to which the mark-to-market election applies would be adjusted to reflect amounts included in gross income or allowed as a deduction because of such election. If a U.S. Holder makes an effective mark-to-market election, any gain recognized upon the sale or other disposition of the ADSs or ordinary shares in a year that we are a PFIC will be treated as ordinary income and any loss will be treated first as ordinary loss (to the extent of any net mark-to-market gains for prior years) and thereafter as capital loss. However, a mark-to-market election will generally not be available with respect to a lower-tier PFIC unless the shares of such lower-tier PFIC are themselves treated as “marketable stock.”</w:t>
      </w:r>
    </w:p>
    <w:p>
      <w:pPr>
        <w:spacing w:after="0" w:line="19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If a U.S. Holder makes a mark-to-market election, it will be effective for the taxable year for which the election is made and all subsequent taxable years unless the ADSs or ordinary shares are no longer regularly traded on a qualified exchange or the IRS consents to the revocation of the election. U.S. Holders are urged to consult their tax advisors about the availability of the mark-to-market election.</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Alternatively, in certain cases, a U.S. Holder may be able to avoid the interest charge and the other adverse PFIC tax consequences described above by electing to treat the PFIC as a “qualified electing fund,” or QEF, under Section 1295 of the Code. If a U.S. Holder makes a valid and timely QEF election and we provide certain required information to such U.S. Holder, then for each taxable year to which such an election applies, the U.S. Holder will be subject to U.S. federal income tax on its pro rata share of our net capital gain and ordinary earnings, regardless of whether such amounts are actually distributed to the U.S. Holder in that year or any later year. However, we do not anticipate that this election will be available to U.S. Holders because we do not expect to provide U.S. Holders with the information that would be necessary to make a valid QEF election.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Tax and Information Reporting Requirements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U.S. Holders generally will be subject to information reporting requirements with respect to distributions paid on the ADSs or our ordinary shares, and on the proceeds from the sale, exchange or other disposition of the ADSs or our ordinary shares that are paid within the United States or through U.S.-related financial intermediaries, unless the U.S. Holder is an “exempt recipient.” In addition, U.S. Holders may be subject to backup withholding on such payments, unless the U.S. Holder provides a correct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Certain U.S. Holders are required to report information relating to an interest in the ADSs and our ordinary shares, subject to certain exceptions (including an exception for ADSs and ordinary shares held in accounts maintained by U.S. financial institutions) by filing IRS Form 8938 (Statement of Specified Foreign Financial Assets) with their U.S. federal income tax return. Substantial penalties may be imposed upon a U.S. Holder that fails to comply. U.S. Holders should consult their tax advisors regarding their information reporting obligations, if any, with respect to their ownership and disposition of the ADSs or our ordinary shares.</w:t>
      </w:r>
    </w:p>
    <w:p>
      <w:pPr>
        <w:sectPr>
          <w:pgSz w:w="11900" w:h="16838" w:orient="portrait"/>
          <w:cols w:equalWidth="0" w:num="1">
            <w:col w:w="11240"/>
          </w:cols>
          <w:pgMar w:left="320" w:top="116"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228" w:name="page229"/>
    <w:bookmarkEnd w:id="2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THE DISCUSSION ABOVE IS A SUMMARY OF THE MATERIAL U.S. FEDERAL INCOME TAX CONSEQUENCES OF AN INVESTMENT IN THE ADSs AND ORDINARY SHARES AND IS BASED UPON LAWS AND RELEVANT INTERPRETATIONS THEREOF IN EFFECT AS OF THE DATE OF THIS ANNUAL REPORT, ALL OF WHICH ARE SUBJECT TO CHANGE OR DIFFERING INTERPRETATION, POSSIBLY WITH RETROACTIVE EFFECT. EACH PROSPECTIVE INVESTOR SHOULD CONSULT ITS TAX ADVISOR ABOUT THE TAX CONSEQUENCES TO IT OF AN INVESTMENT IN THE ADSs AND ORDINARY SHARES IN LIGHT OF THE INVESTOR’S OWN CIRCUMSTANCES.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Australian Tax Considerations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this section, we discuss the material Australian income tax, stamp duty and goods and services tax considerations related to the acquisition, ownership and disposal by the absolute beneficial owners of the ADSs or ordinary shares. It is based upon existing Australian tax law as of the date of this annual report, which is subject to change, possibly retrospectively. This discussion does not address all aspects of Australian tax law which may be important to particular investors in light of their individual investment circumstances, such as ADSs or shares held by investors subject to special tax rules (for example, financial institutions, insurance companies or tax-exempt organizations). In addition, this summary does not discuss any non-Australian or state tax considerations, other than stamp duty.</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Prospective investors are urged to consult their tax advisors regarding the Australian and non-Australian income and other tax considerations of the acquisition, ownership and disposition of the ADSs or shares. This summary is based upon the premise that the holder is not an Australian tax resident and is not carrying on business in Australia through a permanent establishment (referred to as a “Non-Australian Holder” in this summary).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ADSs for Australian Taxation Purposes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Non-Australian Holders of ADSs should obtain specialist Australian tax advice regarding their rights and obligations under the deposit agreement with the depositary, including whether the deposit arrangement constitutes a ‘bare trust’ for Australian taxation purposes. Specialist Australian tax advice should also be obtained before a Non-Australian Holder surrenders ADSs to the depository for cancellation to receive the ordinary shares underlying those ADSs. Apart from certain aspects of the Australian tax legislation (for example, the Australian capital gains tax and withholding tax provisions, which are discussed below), there is no express legislative basis for disregarding “bare trusts” for Australian tax purposes generally. This summary proceeds on the assumption that the deposit arrangement constitutes a bare trust such that a Holder of an ADS is absolutely entitled (as against the depository) to the underlying share and presently entitled to dividends paid on the underlying shares.</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Holders of ADSs can be treated as the owners of the underlying ordinary shares for Australian capital gains tax purposes provided that they are ‘absolutely entitled’ to those shares. Dividends paid on the underlying ordinary shares will also be treated as dividends derived by the holders of ADSs as the persons presently entitled to those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Australia operates a dividend imputation system under which dividends may be declared to be “franked” to the extent they are paid out of company profits that have been subject to income tax. Fully franked dividends are not subject to dividend withholding tax. To the extent that they are unfranked, dividends payable to Non-Australian Holders will be subject to dividend withholding tax except to the extent they are declared to be conduit foreign income, or CFI. Dividend withholding tax will be imposed at 30%, unless a shareholder is a resident of a country with which Australia has a double taxation treaty and qualifies for the benefits of the treaty. Under the provisions of the current Double Taxation Convention between Australia and the United States, the Australian tax withheld on unfranked dividends that are not declared to be CFI to which a resident of the United States is beneficially entitled is limited to 15% where that resident is a qualified person for the purposes of the Double Taxation Convention.</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the Double Taxation Convention between Australia and the United States, if a company that is a resident of the United States and qualifies for the benefits of the Convention directly owns a 10% or greater interest in us, the Australian tax withheld on unfranked dividends that are not declared to be CFI paid by us to which the company is beneficially entitled is limited to 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Character of ADSs for Australian Taxation Purposes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Australian tax treatment of a sale or disposal of the ADSs will depend on whether they are held on revenue or capital account. ADSs may be held on revenue rather than capital account, for example, where they are held by share traders or where the shares are acquired for the purposes of sale by the holder at a profit. Non-Australian Holders of ADSs should obtain specialist Australian tax advice regarding the characterization of any gain or loss on a sale or disposal of the ADSs as revenue or capital in nature.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on Sales or other Dispositions of Shares—Capital Gains Tax</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 Non-Australian Holder who is treated as the owner of the underlying shares on the basis that they are absolutely entitled to those shares will not be subject to Australian capital gains tax on the gain made on a sale or other disposal of ordinary shares unless the shares are “taxable Australian property.” The shares will be “taxable Australian property” under current law where:</w:t>
      </w:r>
    </w:p>
    <w:p>
      <w:pPr>
        <w:spacing w:after="0" w:line="176" w:lineRule="exact"/>
        <w:rPr>
          <w:sz w:val="20"/>
          <w:szCs w:val="20"/>
          <w:color w:val="auto"/>
        </w:rPr>
      </w:pPr>
    </w:p>
    <w:p>
      <w:pPr>
        <w:ind w:left="640" w:right="380" w:hanging="281"/>
        <w:spacing w:after="0" w:line="261" w:lineRule="auto"/>
        <w:tabs>
          <w:tab w:leader="none" w:pos="6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Non-Australian Holder, together with associates, holds 10% or more of our issued capital, at the time of disposal or for a 12-month period during the two years prior to disposal; and</w:t>
      </w:r>
    </w:p>
    <w:p>
      <w:pPr>
        <w:ind w:left="640" w:right="580" w:hanging="281"/>
        <w:spacing w:after="0" w:line="260" w:lineRule="auto"/>
        <w:tabs>
          <w:tab w:leader="none" w:pos="6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our assets held directly or indirectly, determined by reference to market value, consist of Australian real property (which includes land and leasehold interests) or Australian mining, quarrying or prospecting rights at the time of disposal.</w:t>
      </w:r>
    </w:p>
    <w:p>
      <w:pPr>
        <w:spacing w:after="0" w:line="181"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However, the Australian government announced that the capital gains tax rules for non-residents will be clarified and broadened with effect from July 1, 2025 so that they apply to assets with ‘a close economic connection to Australian land’ (in addition to ‘real property’), and to apply the 50% value test throughout a 12 month period prior to disposal rather than at the time of disposal. Non-Australian Holders should monitor developments in this regard.</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Australian capital gains tax applies to net capital gains at a taxpayer’s marginal tax rates. Net capital gains are calculated after reduction for capital losses, which may only be offset against capital gains. The 50% capital gains tax discount is not available to Non-Australian Holders on gains from assets acquired or accrued after May 8, 2012 where they were non-Australian residents during the entire holding period. Companies are not entitled to a capital gains tax discount.</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Broadly, where there is a disposal of certain taxable Australian property, the purchaser will be required to withhold and remit to the Australian Taxation Office, or the ATO, 12.5% of the proceeds from the sale. On December 13, 2023, the Australian government announced that the withholding rate will be increased from 12.5% to 15% of the proceeds of sale for disposals occurring from January 1, 2025. While draft legislation has been released, this announced increase is yet to be legislated and may be subject to change. A transaction is excluded from the withholding requirements in certain circumstances, including where the transaction is an on-market transaction conducted on an approved stock exchange, a securities lending transaction, or the transaction is conducted using a broker operated crossing system. There may also be an exception to the requirement to withhold where a Non-Australian Holder provides a declaration that their ordinary shares are not ‘indirect Australian real property interests,’ although the Australian government is currently running a consultation process to consider whether the Australian Taxation Office should be notified in advance of such a declaration being made for transactions with a value in excess of A$20 million. The Non-Australian Holder may be entitled to receive a tax credit for the tax withheld by the purchaser which they may claim in their Australian income tax return.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on Sales or other Dispositions of ADSs or Shares—Revenue Account</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Non-Australian Holders who hold their ADSs on revenue account may have the gains made on the sale or other disposal of the ADSs included in their assessable income under the ordinary income provisions of the income tax law, if the gains are sourced in Australia. There are no express provisions which treat holders of ADSs as the owners of the underlying shares where there is a bare trust.</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Non-Australian Holders assessable under these ordinary income provisions in respect of gains made on ADSs held on revenue account would be assessed for such gains at the Australian tax rates for non-Australian residents, which start at a marginal rate of 30% for individuals, and would be required to file an Australian tax return. Relief from Australian income tax may be available to a Non-Australian Holder who is resident of a country with which Australia has a double taxation treaty, qualifies for the benefits of the treaty and does not, for example, derive the gain in carrying on business through a permanent establishment in Australia. To the extent an amount would be included in a Non-Australian Holder’s assessable income under both the capital gains tax provisions and the ordinary income provisions, the capital gain amount may be reduced, so that the holder may not be subject to double Australian tax on any part of the gain.</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statements under “— Tax on Sales or Other Dispositions of Shares—Capital Gains Tax” regarding a purchaser being required to withhold 12.5% tax (proposed to increase to 15% from January 1, 2025) on the acquisition of certain taxable Australian property are also relevant where the disposal of the ADSs by a Non-Australian Holder is likely to generate gains on revenue account, rather than a capital gain.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same consequences apply for Non-Australian Holders who hold ordinary shares on revenue account.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Dual Residency</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a holder of ADSs is a resident of both Australia and the United States under those countries’ domestic taxation laws, that holder may be subject to tax as an Australian resident. If, however, the holder is an individual and is determined to be a U.S. resident for the purposes of the Double Taxation Convention between the United States and Australia, the Australian tax would be subject to limitation by the Double Taxation Convention. Holders should obtain specialist taxation advice in these circumstances.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No Australian stamp duty is payable by Australian residents or non-Australian residents on the issue, transfer and/or surrender of the ADSs or ordinary shares while we continue to satisfy the requirements of a listed company for the purposes of Australian duties legislation, provided that the securities issued, transferred and/or surrendered do not represent 90% or more of our issued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Australian Death Duty</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Australia does not have estate or death duties. As a general rule, no capital gains tax liability is realized upon the inheritance of a deceased person’s shares. The disposal of inherited shares by beneficiaries may, however, give rise to a capital gains tax liability if the gain falls within the scope of Australia’s jurisdiction to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Tax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Australian goods and services tax will be payable on the supply of the ADSs or ordinary shares.</w:t>
      </w:r>
    </w:p>
    <w:p>
      <w:pPr>
        <w:spacing w:after="0" w:line="22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THE DISCUSSION ABOVE IS A SUMMARY OF THE AUSTRALIAN TAX CONSEQUENCES OF AN INVESTMENT IN OUR ORDINARY SHARES OR ADSs AND IS BASED UPON LAWS AND RELEVANT INTERPRETATIONS THEREOF IN EFFECT AS OF THE DATE OF THIS ANNUAL REPORT, ALL OF WHICH ARE SUBJECT TO CHANGE, POSSIBLY WITH RETROACTIVE EFFECT. EACH PROSPECTIVE INVESTOR IS URGED TO CONSULT ITS OWN TAX ADVISOR ABOUT THE TAX CONSEQUENCES TO IT OF AN INVESTMENT IN OUR ORDINARY SHARES OR ADSs IN LIGHT OF THE INVESTOR’S OWN CIRCUMSTANCES.</w:t>
      </w:r>
    </w:p>
    <w:p>
      <w:pPr>
        <w:spacing w:after="0" w:line="179" w:lineRule="exact"/>
        <w:rPr>
          <w:sz w:val="20"/>
          <w:szCs w:val="20"/>
          <w:color w:val="auto"/>
        </w:rPr>
      </w:pPr>
    </w:p>
    <w:p>
      <w:pPr>
        <w:ind w:left="400" w:hanging="392"/>
        <w:spacing w:after="0"/>
        <w:tabs>
          <w:tab w:leader="none" w:pos="40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0" w:hanging="392"/>
        <w:spacing w:after="0"/>
        <w:tabs>
          <w:tab w:leader="none" w:pos="40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0" w:hanging="392"/>
        <w:spacing w:after="0"/>
        <w:tabs>
          <w:tab w:leader="none" w:pos="40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as applicable to “foreign private issuers” as defined in Rule 3b-4 under the Exchange Act. See “Item 6. Directors, Senior Management and Employees — C. Board Practices — Foreign Private Issuer Exemption” for information on reporting exemptions applicable to us as a foreign private issuer. In addition, we are not required under the Exchange Act to file annual, quarterly and current reports and financial statements with the SEC as frequently or as promptly as U.S. domestic companies whose securities are registered under the Exchange Act. However, we file with the SEC an annual report on Form 20-F containing financial statements audited by an independent registered public accounting firm, and submit reports to the SEC on Form 6-K to disclose other material information, as required. We also intend to submit reports to the SEC on Form 6-K containing unaudited financial information for the first six months of each fiscal 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 maintains a website at www.sec.gov from which our filings may be accessed.</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since our ordinary shares are traded on the ASX, we have filed periodic corporate reports, including annual and semi-annual reports with, and furnish information to, the ASX, as required under the ASX Listing Rules and the Australian Corporations Act. Copies of our filings with the ASX can be retrieved electronically at www.asx.com.au under our symbol “TLX.” We also maintain a website at www.telixpharma.com.</w:t>
      </w:r>
    </w:p>
    <w:p>
      <w:pPr>
        <w:spacing w:after="0" w:line="172" w:lineRule="exact"/>
        <w:rPr>
          <w:sz w:val="20"/>
          <w:szCs w:val="20"/>
          <w:color w:val="auto"/>
        </w:rPr>
      </w:pPr>
    </w:p>
    <w:p>
      <w:pPr>
        <w:ind w:left="400" w:hanging="392"/>
        <w:spacing w:after="0"/>
        <w:tabs>
          <w:tab w:leader="none" w:pos="40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about our subsidiaries, see “Item 4. Information on the Company — C. Organizational Structure.”</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attributable to foreign currency exchange rate risk.</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left="20" w:right="680"/>
        <w:spacing w:after="0" w:line="282"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A$710.3 million. We have limited exposure to interest rate risk. Our cash and cash equivalents are not locked into long-term deposits at fixed rates so as to mitigate the risk of earning interest below the current floating rate.</w:t>
      </w:r>
    </w:p>
    <w:p>
      <w:pPr>
        <w:spacing w:after="0" w:line="162" w:lineRule="exact"/>
        <w:rPr>
          <w:sz w:val="20"/>
          <w:szCs w:val="20"/>
          <w:color w:val="auto"/>
        </w:rPr>
      </w:pPr>
    </w:p>
    <w:p>
      <w:pPr>
        <w:ind w:left="20" w:right="40"/>
        <w:spacing w:after="0" w:line="258" w:lineRule="auto"/>
        <w:rPr>
          <w:sz w:val="20"/>
          <w:szCs w:val="20"/>
          <w:color w:val="auto"/>
        </w:rPr>
      </w:pPr>
      <w:r>
        <w:rPr>
          <w:rFonts w:ascii="Times New Roman" w:cs="Times New Roman" w:eastAsia="Times New Roman" w:hAnsi="Times New Roman"/>
          <w:sz w:val="18"/>
          <w:szCs w:val="18"/>
          <w:color w:val="auto"/>
        </w:rPr>
        <w:t>Our exposure to market interest rates relates primarily to short-term deposits. The roll-over loan facility totaling A$13.1 million (translated from Euros based on the exchange currency rate as of December 31, 2024) carries an interest rate that is calculated using the eurozone interbank interest rate as of each interest determination date. However, all of our borrowings that have been drawn down as of December 31, 2024 bear a fixed interest rate. Therefore, we are not exposed to any significant interest rate risk under these borrowings. An immediate 10% change in current market interest rates would not have a material impact on our borrowings, financial position or results of operations.</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Foreign currency risk is the risk of fluctuation in fair value or future cash flows of a financial instrument as a result of changes in foreign exchange rates. We operate internationally and are exposed to foreign exchange risk, primarily related to the U.S. dollar and Euro. Foreign exchange risk arises from commercial activities in the United States and research and development activities in Europe and the United States.</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treasury risk management policy is to settle all U.S. dollar denominated expenditures with U.S. dollar denominated receipts from sales of Illuccix in the United States. We also manage currency risk by making decisions as to the levels of cash to hold in each currency by assessing future activities which will likely be incurred in those currencies. Any remaining foreign currency exposure has therefore not been hedged.</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have both foreign currency receivables and payables, predominantly denominated in U.S. dollar and Euro. We had a surplus of foreign currency receivables and financial assets over payables of A$80.3 million as of December 31, 2024.</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exposure to the risk of changes in foreign exchange rates also relates to the net investments in foreign subsidiaries, which predominantly include denominations in the Euro and the U.S. dollar. However, given the low level of current investments in foreign subsidiaries, this impact is limited.</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of December 31, 2024, we held 32.0% of our cash in Australian dollars, 64.8% in U.S. dollars, 2.9% in Euros, 0.1% in British pounds, 0.1% in Canadian dollars and 0.1% in Swiss Francs. The following table sets forth the balances of our cash and cash equivalents, trade receivables and financial assets as of December 31, 2024 that give rise to currency risk exposure, as presented in Australian dollars: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USD</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AUD</w:t>
            </w:r>
          </w:p>
        </w:tc>
        <w:tc>
          <w:tcPr>
            <w:tcW w:w="18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EUR</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CHF</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JPY</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GBP</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w w:val="97"/>
              </w:rPr>
              <w:t>CAD</w:t>
            </w:r>
          </w:p>
        </w:tc>
        <w:tc>
          <w:tcPr>
            <w:tcW w:w="0" w:type="dxa"/>
            <w:vAlign w:val="bottom"/>
          </w:tcPr>
          <w:p>
            <w:pPr>
              <w:spacing w:after="0"/>
              <w:rPr>
                <w:sz w:val="1"/>
                <w:szCs w:val="1"/>
                <w:color w:val="auto"/>
              </w:rPr>
            </w:pPr>
          </w:p>
        </w:tc>
      </w:tr>
      <w:tr>
        <w:trPr>
          <w:trHeight w:val="194"/>
        </w:trPr>
        <w:tc>
          <w:tcPr>
            <w:tcW w:w="3400" w:type="dxa"/>
            <w:vAlign w:val="bottom"/>
            <w:tcBorders>
              <w:right w:val="single" w:sz="8" w:color="auto"/>
            </w:tcBorders>
          </w:tcPr>
          <w:p>
            <w:pPr>
              <w:spacing w:after="0"/>
              <w:rPr>
                <w:sz w:val="16"/>
                <w:szCs w:val="16"/>
                <w:color w:val="auto"/>
              </w:rPr>
            </w:pPr>
          </w:p>
        </w:tc>
        <w:tc>
          <w:tcPr>
            <w:tcW w:w="1140" w:type="dxa"/>
            <w:vAlign w:val="bottom"/>
            <w:tcBorders>
              <w:top w:val="single" w:sz="8" w:color="auto"/>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U.S. Dollars</w:t>
            </w:r>
          </w:p>
        </w:tc>
        <w:tc>
          <w:tcPr>
            <w:tcW w:w="1160" w:type="dxa"/>
            <w:vAlign w:val="bottom"/>
            <w:tcBorders>
              <w:top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Australian</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right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Euros</w:t>
            </w:r>
          </w:p>
        </w:tc>
        <w:tc>
          <w:tcPr>
            <w:tcW w:w="1160" w:type="dxa"/>
            <w:vAlign w:val="bottom"/>
            <w:tcBorders>
              <w:top w:val="single" w:sz="8" w:color="auto"/>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Swiss Francs</w:t>
            </w:r>
          </w:p>
        </w:tc>
        <w:tc>
          <w:tcPr>
            <w:tcW w:w="114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Japanese Yen</w:t>
            </w:r>
          </w:p>
        </w:tc>
        <w:tc>
          <w:tcPr>
            <w:tcW w:w="1140" w:type="dxa"/>
            <w:vAlign w:val="bottom"/>
            <w:tcBorders>
              <w:top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British</w:t>
            </w:r>
          </w:p>
        </w:tc>
        <w:tc>
          <w:tcPr>
            <w:tcW w:w="9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Canadian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4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180" w:type="dxa"/>
            <w:vAlign w:val="bottom"/>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Pounds</w:t>
            </w: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0" w:type="dxa"/>
            <w:vAlign w:val="bottom"/>
          </w:tcPr>
          <w:p>
            <w:pPr>
              <w:spacing w:after="0"/>
              <w:rPr>
                <w:sz w:val="1"/>
                <w:szCs w:val="1"/>
                <w:color w:val="auto"/>
              </w:rPr>
            </w:pPr>
          </w:p>
        </w:tc>
      </w:tr>
      <w:tr>
        <w:trPr>
          <w:trHeight w:val="115"/>
        </w:trPr>
        <w:tc>
          <w:tcPr>
            <w:tcW w:w="34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400" w:type="dxa"/>
            <w:vAlign w:val="bottom"/>
            <w:tcBorders>
              <w:right w:val="single" w:sz="8" w:color="auto"/>
            </w:tcBorders>
          </w:tcPr>
          <w:p>
            <w:pPr>
              <w:spacing w:after="0"/>
              <w:rPr>
                <w:sz w:val="19"/>
                <w:szCs w:val="19"/>
                <w:color w:val="auto"/>
              </w:rPr>
            </w:pPr>
          </w:p>
        </w:tc>
        <w:tc>
          <w:tcPr>
            <w:tcW w:w="1140" w:type="dxa"/>
            <w:vAlign w:val="bottom"/>
            <w:tcBorders>
              <w:top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w:t>
            </w:r>
          </w:p>
        </w:tc>
        <w:tc>
          <w:tcPr>
            <w:tcW w:w="1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w:t>
            </w:r>
          </w:p>
        </w:tc>
        <w:tc>
          <w:tcPr>
            <w:tcW w:w="1160" w:type="dxa"/>
            <w:vAlign w:val="bottom"/>
            <w:tcBorders>
              <w:top w:val="single" w:sz="8" w:color="auto"/>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w:t>
            </w:r>
          </w:p>
        </w:tc>
        <w:tc>
          <w:tcPr>
            <w:tcW w:w="1140" w:type="dxa"/>
            <w:vAlign w:val="bottom"/>
            <w:tcBorders>
              <w:top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CCEEFF"/>
              <w:right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460,664</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227,312</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20,169</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136,525</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0"/>
        </w:trPr>
        <w:tc>
          <w:tcPr>
            <w:tcW w:w="3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223</w:t>
            </w: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4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primarily exposed to foreign exchange risk inherent in U.S. dollar-denominated cash and cash equivalents, trade receivables, trade payables and contingent consideration liability and in Euro-denominated cash and cash equivalents, trade payables and contingent consideration liability. We also have exposure to exchange rate risk from the Euro attributable to our Euro-denominated loans from BNP Paribas and IMBC Group. For the year ended December 31, 2024, an increase or decrease of the Australian dollar to U.S. dollar exchange rate by 10% would increase our profit after tax by A$19.6 million or decrease our profit after tax by A$16.0 million, respectively, and an increase or decrease of the Australian dollar to Euro exchange rate by 10% would increase our profit after tax by A$2.4 million or decrease our profit after tax by A$2.9 million, respectively. For the year ended December 31, 2023, an increase or decrease of the Australian dollar to U.S. dollar exchange rate by 10% would increase our profit after tax by A$1.7 million or decrease our profit after tax by A$2.1 million, respectively, and an increase or decrease of the Australian dollar to Euro exchange rate by 10% would increase our profit after tax by A$1.5 million or decrease our profit after tax by A$1.8 million, respectively. For more information on our currency risk exposure and sensitivity analysis, see Note 32.3 to our audited consolidated financial statements included elsewhere in this annual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exposed to liquidity and funding risk from operations and from external borrowings, where the risk is that we may not be able to refinance debt obligations or meet other cash outflow obligations when required. Vigilant liquidity risk management requires that we maintain sufficient liquid assets (mainly cash and cash equivalents). We manage liquidity risk by maintaining adequate cash reserves by continuously monitoring actual and forecast cash flows and matching the maturity profiles of financial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Credit risk refers to the risk that a counterparty will default on its contractual obligations resulting in financial loss to us. Credit risk arises from cash and cash equivalents and credit exposures to customers, including outstanding receivables.</w:t>
      </w:r>
    </w:p>
    <w:p>
      <w:pPr>
        <w:spacing w:after="0" w:line="16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Credit risk is managed on a group basis. If customers are independently rated, these ratings are used. Otherwise, if there is no independent rating, we assess the credit quality of the customer, taking into account its financial position, past experience and other factors. Individual risk limits are set based on internal or external ratings. The compliance with credit limits by customers is regularly monitored. We obtain guarantees where appropriate to mitigate credit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apply the IFRS 9 simplified approach to measuring expected credit losses which uses a lifetime expected loss allowance for all trade receivables.</w:t>
      </w:r>
    </w:p>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To measure the expected credit losses, trade receivables have been grouped based on shared credit risk characteristics and the days past due. The expected loss rates are based on historical payment profiles of sales and the corresponding historical credit losses experienced. The historical loss rates are adjusted to reflect current and forward-looking information on macroeconomic factors affecting the ability of the customers to settle the receivables.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Trade receivables are written off where there is no reasonable expectation of recovery. Indicators that there is no reasonable expectation of recovery include, amongst others, the failure of a debtor to engage in a repayment plan with us, and the failure to make contractual payments for a period of greater than 120 days past due.</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Impairment losses on trade receivables are presented within sales and marketing costs within profit or loss. Subsequent recoveries of amounts previously written off are credited against the same line item. The expected credit losses were A$0.2 million and A$0.5 million as of December 31, 2024 and 2023 respectively.</w:t>
      </w:r>
    </w:p>
    <w:p>
      <w:pPr>
        <w:spacing w:after="0" w:line="17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25" w:lineRule="exact"/>
        <w:rPr>
          <w:sz w:val="20"/>
          <w:szCs w:val="20"/>
          <w:color w:val="auto"/>
        </w:rPr>
      </w:pPr>
    </w:p>
    <w:p>
      <w:pPr>
        <w:ind w:right="9640" w:firstLine="8"/>
        <w:spacing w:after="0" w:line="286" w:lineRule="auto"/>
        <w:tabs>
          <w:tab w:leader="none" w:pos="391"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Securities </w:t>
      </w:r>
      <w:r>
        <w:rPr>
          <w:rFonts w:ascii="Times New Roman" w:cs="Times New Roman" w:eastAsia="Times New Roman" w:hAnsi="Times New Roman"/>
          <w:sz w:val="18"/>
          <w:szCs w:val="18"/>
          <w:color w:val="auto"/>
        </w:rPr>
        <w:t>Not applicable.</w:t>
      </w:r>
    </w:p>
    <w:p>
      <w:pPr>
        <w:spacing w:after="0" w:line="154" w:lineRule="exact"/>
        <w:rPr>
          <w:rFonts w:ascii="Times New Roman" w:cs="Times New Roman" w:eastAsia="Times New Roman" w:hAnsi="Times New Roman"/>
          <w:sz w:val="18"/>
          <w:szCs w:val="18"/>
          <w:b w:val="1"/>
          <w:bCs w:val="1"/>
          <w:color w:val="auto"/>
        </w:rPr>
      </w:pPr>
    </w:p>
    <w:p>
      <w:pPr>
        <w:ind w:right="9180" w:firstLine="8"/>
        <w:spacing w:after="0" w:line="286" w:lineRule="auto"/>
        <w:tabs>
          <w:tab w:leader="none" w:pos="391"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and Rights </w:t>
      </w:r>
      <w:r>
        <w:rPr>
          <w:rFonts w:ascii="Times New Roman" w:cs="Times New Roman" w:eastAsia="Times New Roman" w:hAnsi="Times New Roman"/>
          <w:sz w:val="18"/>
          <w:szCs w:val="18"/>
          <w:color w:val="auto"/>
        </w:rPr>
        <w:t>Not applicable.</w:t>
      </w:r>
    </w:p>
    <w:p>
      <w:pPr>
        <w:spacing w:after="0" w:line="154"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8640" w:firstLine="8"/>
        <w:spacing w:after="0" w:line="503" w:lineRule="auto"/>
        <w:tabs>
          <w:tab w:leader="none" w:pos="391"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 Fees and Expenses</w:t>
      </w:r>
    </w:p>
    <w:p>
      <w:pPr>
        <w:ind w:right="420"/>
        <w:spacing w:after="0" w:line="256" w:lineRule="auto"/>
        <w:rPr>
          <w:sz w:val="20"/>
          <w:szCs w:val="20"/>
          <w:color w:val="auto"/>
        </w:rPr>
      </w:pPr>
      <w:r>
        <w:rPr>
          <w:rFonts w:ascii="Times New Roman" w:cs="Times New Roman" w:eastAsia="Times New Roman" w:hAnsi="Times New Roman"/>
          <w:sz w:val="18"/>
          <w:szCs w:val="18"/>
          <w:color w:val="auto"/>
        </w:rPr>
        <w:t>Our ADS depositary, JPMorgan Chase Bank, N.A., or JPMorgan, may charge each person to whom ADSs are issued, including, without limitation, issuances against deposits of ordinary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ADSs are cancelled or reduced for any other reason, a fee of up to US$5.00 for each 100 ADSs (or any portion thereof) issued, delivered, reduced, cancelled or surrendered, or upon which a share distribution or elective distribution is made or offered, as the case may be.</w:t>
      </w:r>
    </w:p>
    <w:p>
      <w:pPr>
        <w:spacing w:after="0" w:line="187"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depositary may sell (by public or private sale) sufficient securities and property received in respect of a share distribution, rights and/or other distribution prior to such deposit to pay such charge.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additional fees, charges and expenses shall also be incurred by the ADR holders, the beneficial owners, by any party depositing or withdrawing ordinary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180" w:lineRule="exact"/>
        <w:rPr>
          <w:sz w:val="20"/>
          <w:szCs w:val="20"/>
          <w:color w:val="auto"/>
        </w:rPr>
      </w:pPr>
    </w:p>
    <w:p>
      <w:pPr>
        <w:ind w:left="340" w:right="840" w:hanging="238"/>
        <w:spacing w:after="0" w:line="261" w:lineRule="auto"/>
        <w:tabs>
          <w:tab w:leader="none" w:pos="340" w:val="left"/>
        </w:tabs>
        <w:numPr>
          <w:ilvl w:val="0"/>
          <w:numId w:val="16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 fee of up to US$0.05 per ADS held for any cash distribution made, or for any elective cash/stock dividend offered, pursuant to the deposit agreement;</w:t>
      </w:r>
    </w:p>
    <w:p>
      <w:pPr>
        <w:jc w:val="both"/>
        <w:ind w:left="340" w:right="80" w:hanging="238"/>
        <w:spacing w:after="0" w:line="250" w:lineRule="auto"/>
        <w:tabs>
          <w:tab w:leader="none" w:pos="340" w:val="left"/>
        </w:tabs>
        <w:numPr>
          <w:ilvl w:val="0"/>
          <w:numId w:val="16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1" w:lineRule="exact"/>
        <w:rPr>
          <w:rFonts w:ascii="Times New Roman" w:cs="Times New Roman" w:eastAsia="Times New Roman" w:hAnsi="Times New Roman"/>
          <w:sz w:val="18"/>
          <w:szCs w:val="18"/>
          <w:color w:val="0A2E94"/>
        </w:rPr>
      </w:pPr>
    </w:p>
    <w:p>
      <w:pPr>
        <w:ind w:left="340" w:right="40" w:hanging="238"/>
        <w:spacing w:after="0" w:line="250" w:lineRule="auto"/>
        <w:tabs>
          <w:tab w:leader="none" w:pos="340" w:val="left"/>
        </w:tabs>
        <w:numPr>
          <w:ilvl w:val="0"/>
          <w:numId w:val="16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an amount for the reimbursement of such fees, charges and expenses as are incurred by the depositary and/or any of its agents (including, without limitation, the custodian, as well as charges and expenses incurred on behalf of ADR holders in connection with compliance with foreign exchange control regulations or any law, rule or regulation relating to foreign investment) in connection with the servicing of the ordinary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p>
    <w:p>
      <w:pPr>
        <w:spacing w:after="0" w:line="2" w:lineRule="exact"/>
        <w:rPr>
          <w:rFonts w:ascii="Times New Roman" w:cs="Times New Roman" w:eastAsia="Times New Roman" w:hAnsi="Times New Roman"/>
          <w:sz w:val="18"/>
          <w:szCs w:val="18"/>
          <w:color w:val="0A2E94"/>
        </w:rPr>
      </w:pPr>
    </w:p>
    <w:p>
      <w:pPr>
        <w:ind w:left="340" w:right="100" w:hanging="238"/>
        <w:spacing w:after="0" w:line="250" w:lineRule="auto"/>
        <w:tabs>
          <w:tab w:leader="none" w:pos="340" w:val="left"/>
        </w:tabs>
        <w:numPr>
          <w:ilvl w:val="0"/>
          <w:numId w:val="16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 fee of up to US$0.05 per ADS held for the direct or indirect distribution of securities (other than ADSs or rights to purchase additional ADSs) or the net cash proceeds from the public or private sale of such securities, regardless of whether any such distribution and/or sale is made by, for, or received from, or (in each case) on behalf of, the depositary, us and/or any third party (which fee may be assessed against ADR holders as of a record date set by the depositary);</w:t>
      </w:r>
    </w:p>
    <w:p>
      <w:pPr>
        <w:spacing w:after="0" w:line="1"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16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stock transfer or other taxes and other governmental charges;</w:t>
      </w:r>
    </w:p>
    <w:p>
      <w:pPr>
        <w:spacing w:after="0" w:line="9" w:lineRule="exact"/>
        <w:rPr>
          <w:rFonts w:ascii="Times New Roman" w:cs="Times New Roman" w:eastAsia="Times New Roman" w:hAnsi="Times New Roman"/>
          <w:sz w:val="18"/>
          <w:szCs w:val="18"/>
          <w:color w:val="0A2E94"/>
        </w:rPr>
      </w:pPr>
    </w:p>
    <w:p>
      <w:pPr>
        <w:ind w:left="340" w:right="380" w:hanging="238"/>
        <w:spacing w:after="0" w:line="250" w:lineRule="auto"/>
        <w:tabs>
          <w:tab w:leader="none" w:pos="340" w:val="left"/>
        </w:tabs>
        <w:numPr>
          <w:ilvl w:val="0"/>
          <w:numId w:val="16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 transaction fee per cancellation request (including any cancellation request made through SWIFT, facsimile transmission or any other method of communication) as disclosed on the “Disclosures” page (or successor page) of www.adr.com (as updated by the depositary from time to time, “ADR.com”) and any applicable delivery expenses (which are payable by such persons or ADR holders);</w:t>
      </w:r>
    </w:p>
    <w:p>
      <w:pPr>
        <w:spacing w:after="0" w:line="1" w:lineRule="exact"/>
        <w:rPr>
          <w:rFonts w:ascii="Times New Roman" w:cs="Times New Roman" w:eastAsia="Times New Roman" w:hAnsi="Times New Roman"/>
          <w:sz w:val="18"/>
          <w:szCs w:val="18"/>
          <w:color w:val="0A2E94"/>
        </w:rPr>
      </w:pPr>
    </w:p>
    <w:p>
      <w:pPr>
        <w:ind w:left="340" w:right="820" w:hanging="238"/>
        <w:spacing w:after="0" w:line="250" w:lineRule="auto"/>
        <w:tabs>
          <w:tab w:leader="none" w:pos="340" w:val="left"/>
        </w:tabs>
        <w:numPr>
          <w:ilvl w:val="0"/>
          <w:numId w:val="16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transfer or registration fees for the registration of transfer of deposited securities on any applicable register in connection with the deposit or withdrawal of deposited securities; and</w:t>
      </w:r>
    </w:p>
    <w:p>
      <w:pPr>
        <w:ind w:left="340" w:right="220" w:hanging="238"/>
        <w:spacing w:after="0" w:line="260" w:lineRule="auto"/>
        <w:tabs>
          <w:tab w:leader="none" w:pos="340" w:val="left"/>
        </w:tabs>
        <w:numPr>
          <w:ilvl w:val="0"/>
          <w:numId w:val="16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fees of any division, branch or affiliate of the depositary utilized by the depositary to direct, manage and/or execute any public and/or private sale of securities under the deposit agreement.</w:t>
      </w:r>
    </w:p>
    <w:p>
      <w:pPr>
        <w:spacing w:after="0" w:line="18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facilitate the administration of various depositary receipt transactions, including disbursement of dividends or other cash distributions and other corporate actions, the depositary may engage the foreign exchange desk within the banking division of JPMorgan, or the Bank,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The foreign exchange rate applied to a foreign exchange transaction will be either (i) a published benchmark rate, or (ii) a rate determined by a third party local liquidity provider, in each case plus or minus a spread, as applicable. The depositary will disclose which foreign exchange rate and spread, if any, apply to such currency on the “Disclosures” page (or successor page) of 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ADR holders or beneficial owners. </w:t>
      </w:r>
      <w:r>
        <w:rPr>
          <w:rFonts w:ascii="Times New Roman" w:cs="Times New Roman" w:eastAsia="Times New Roman" w:hAnsi="Times New Roman"/>
          <w:sz w:val="18"/>
          <w:szCs w:val="18"/>
          <w:i w:val="1"/>
          <w:iCs w:val="1"/>
          <w:color w:val="auto"/>
        </w:rPr>
        <w:t>The spread applied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does not reflect any gains or losses that may be earned or incurred by the Bank and its affiliates as a result of risk management or other hedging related activity.</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the foregoing, to the extent we provide U.S. dollars to the depositary, neither the Bank nor any of its affiliates will execute a foreign exchange transaction as set forth herein. In such case, the depositary will distribute the U.S. dollars received from us.</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p>
    <w:p>
      <w:pPr>
        <w:spacing w:after="0" w:line="18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will pay all other fees, charges and expenses of the depositary and any agent of the depositary (except the custodian) pursuant to agreements from time to time between us and the depositary.</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right of the depositary to charge and receive payment of fees, charges and expenses survives the termination of the deposit agreement, and shall extend for those fees, charges and expenses incurred prior to the effectiveness of any resignation or removal of the depositary.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fees and charges described above may be amended from time to time by agreement between us and the depositary.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Reimbursements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depositary anticipates reimbursing us for certain expenses incurred by us that are related to the establishment and maintenance of the ADR program upon such terms and conditions as we and the depositary may agree from time to time. The depositary may make available to us a set amount or a portion of the depositary fees charged in respect of the ADR program or otherwise upon such terms and conditions as we and the depositary may agree from time to time. The depositary may also agree to reduce or waive certain fees that would normally be charged on ADSs issued to or at the direction of, or otherwise held by, us and/or certain holders and beneficial owners and holders and beneficial owners of shares of ours.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ADR holders and/or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the depositary and its agents in respect of such tax or other governmental charge. Notwithstanding the depositary’s right to seek payment from current or former ADR holders and beneficial owners, each ADR holder and beneficial owner, and each prior ADR holder and beneficial owner, by holding or owning, or having held or owned, an ADR or an interest in ADSs acknowledges and agrees that the depositary has no obligation to seek payment of amounts owing from any current or prior beneficial owner.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 up or combination of ADRs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 Neither we nor the depositary nor any of our or its respective agents, shall be liable to ADR holders or beneficial owners of the ADSs for failure of any of them to comply with applicable tax laws, rules and/or regulations.</w:t>
      </w:r>
    </w:p>
    <w:p>
      <w:pPr>
        <w:spacing w:after="0" w:line="1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which obligations shall survive any transfer or surrender of ADSs or the termination of the deposit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Group Chief Executive Officer and Group Chief Financial Officer, has performed an evaluation of the effectiveness of our disclosure controls and procedures (as defined in Rules 13a-15(e) and 15d-15(e) under the Exchange Act) as of the end of the period covered by this report.</w:t>
      </w:r>
    </w:p>
    <w:p>
      <w:pPr>
        <w:spacing w:after="0" w:line="176" w:lineRule="exact"/>
        <w:rPr>
          <w:sz w:val="20"/>
          <w:szCs w:val="20"/>
          <w:color w:val="auto"/>
        </w:rPr>
      </w:pPr>
    </w:p>
    <w:p>
      <w:pPr>
        <w:ind w:left="20" w:right="540"/>
        <w:spacing w:after="0" w:line="258" w:lineRule="auto"/>
        <w:rPr>
          <w:sz w:val="20"/>
          <w:szCs w:val="20"/>
          <w:color w:val="auto"/>
        </w:rPr>
      </w:pPr>
      <w:r>
        <w:rPr>
          <w:rFonts w:ascii="Times New Roman" w:cs="Times New Roman" w:eastAsia="Times New Roman" w:hAnsi="Times New Roman"/>
          <w:sz w:val="18"/>
          <w:szCs w:val="18"/>
          <w:color w:val="auto"/>
        </w:rPr>
        <w:t>Based on the foregoing, our Group Chief Executive Officer and Group Chief Financial officer have concluded that, as of December 31, 2024, our disclosure controls and procedures were not effective. Notwithstanding management’s assessment that our disclosure controls and procedures were ineffective as of December 31, 2024 due to the material weaknesses described below, our Group Chief Executive Officer and Group Chief Financial Officer have concluded that the consolidated financial statements included in this annual report fairly present, in all material respects, our financial position, results of operations and cash flows for the periods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 and Attestation Report of the Registered Public Accounting Firm</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2024, we have identified two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6"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The identified material weaknesses related to a lack of appropriately designed, implemented and documented procedures and controls at both the entity-level and process-level to allow us to achieve complete, accurate and timely financial reporting, as well as to segregation of duties, which have not been sufficiently established across the key business and financial processes to maintain appropriate segregation of duties over certain manual and IT business controls. There were no changes in our internal control over financial reporting during the period covered by this Annual Report on Form 20-F that have materially affected, or are reasonably likely to materially affect, our internal control over financial reporting.</w:t>
      </w:r>
    </w:p>
    <w:p>
      <w:pPr>
        <w:sectPr>
          <w:pgSz w:w="11900" w:h="16838" w:orient="portrait"/>
          <w:cols w:equalWidth="0" w:num="1">
            <w:col w:w="11220"/>
          </w:cols>
          <w:pgMar w:left="320" w:top="116" w:right="359" w:bottom="1011" w:gutter="0" w:footer="0" w:header="0"/>
        </w:sect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011" w:gutter="0" w:footer="0" w:header="0"/>
          <w:type w:val="continuous"/>
        </w:sectPr>
      </w:pPr>
    </w:p>
    <w:bookmarkStart w:id="236" w:name="page237"/>
    <w:bookmarkEnd w:id="2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Status of Material Weaknesses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taken steps designed to mitigate the impact of the material weaknesses identified above and strengthen our internal control over financial reporting. These measures include hiring additional accounting and financial reporting personnel, investing in technology to enhance our financial systems and processes, introducing a formalized governance framework across the organization and establishing a compliance register to support accurate financial reporting and compliance with regulatory bodies, hiring a Manager of Global Sarbanes-Oxley Governance, Risk, and Controls and engaging a third-party firm to assist management in enhancing our Sarbanes-Oxley compliance framework.</w:t>
      </w:r>
    </w:p>
    <w:p>
      <w:pPr>
        <w:spacing w:after="0" w:line="1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We have developed and begun to implement a remediation plan designed to improve our internal control over financial reporting to remediate these material weaknesses. Achievements in remediation include (i) creating formal documentation of risks and controls related to internal control over financial reporting, (ii) developing and implementing a company-wide training program focused on Sarbanes-Oxley compliance and understanding of requirements,</w:t>
      </w:r>
    </w:p>
    <w:p>
      <w:pPr>
        <w:spacing w:after="0" w:line="1" w:lineRule="exact"/>
        <w:rPr>
          <w:sz w:val="20"/>
          <w:szCs w:val="20"/>
          <w:color w:val="auto"/>
        </w:rPr>
      </w:pPr>
    </w:p>
    <w:p>
      <w:pPr>
        <w:ind w:right="200" w:firstLine="8"/>
        <w:spacing w:after="0" w:line="252" w:lineRule="auto"/>
        <w:tabs>
          <w:tab w:leader="none" w:pos="3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foundational processes and framework for management testing of our internal controls and (iv) identifying a technology to assist in evaluating segregation of duties within IT systems. Remediation measures are ongoing and include (i) continuing to enhance risk and control documentation practices related to internal control over financial reporting, (ii) strengthening the monitoring and management testing of controls and oversight mechanisms to promote ongoing compliance with internal control policies and procedures, (iii) continuing the annual Sarbanes-Oxley training program, (iv) conducting a comprehensive review of our existing roles and responsibilities to identify areas where segregation of duties is lacking or inadequate, (v) updating and enhancing process documentation to define roles, responsibilities, and segregation of duties requirements and (vi) exploring technology solutions and automation tools that can assist in achieving segregation of duties within our IT systems.</w:t>
      </w:r>
    </w:p>
    <w:p>
      <w:pPr>
        <w:spacing w:after="0" w:line="18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Although we have made considerable progress and intend to complete these remediation activities, we will not be able to fully remediate the material weaknesses until these steps have been completed, the enhanced processes have been operating effectively for a sufficient period of time and appropriate testing has been performed. We provide no assurances with respect to the timeline for implementing effective remedial measures, and our initiatives may not prove to be successful in remediating the material weakness or preventing additional material weaknesses or significant deficiencies in our internal control over financial reporting in the future.</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“Item 3. Key Information — D. Risk Factors” and “Item 5. Operating and Financial Review and Prospects — A. Operating Results — Internal Control over Financial Reporting” for additional details regarding the identified material weaknesses and our remediation plan.</w:t>
      </w:r>
    </w:p>
    <w:p>
      <w:pPr>
        <w:spacing w:after="0" w:line="15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7"/>
          <w:szCs w:val="17"/>
          <w:b w:val="1"/>
          <w:bCs w:val="1"/>
          <w:color w:val="auto"/>
        </w:rPr>
        <w:t>AUDIT COMMITTEE FINANCIAL EXPERT</w:t>
      </w:r>
    </w:p>
    <w:p>
      <w:pPr>
        <w:spacing w:after="0" w:line="229" w:lineRule="exact"/>
        <w:rPr>
          <w:sz w:val="20"/>
          <w:szCs w:val="20"/>
          <w:color w:val="auto"/>
        </w:rPr>
      </w:pPr>
    </w:p>
    <w:p>
      <w:pPr>
        <w:ind w:left="20" w:right="140"/>
        <w:spacing w:after="0" w:line="266" w:lineRule="auto"/>
        <w:rPr>
          <w:sz w:val="20"/>
          <w:szCs w:val="20"/>
          <w:color w:val="auto"/>
        </w:rPr>
      </w:pPr>
      <w:r>
        <w:rPr>
          <w:rFonts w:ascii="Times New Roman" w:cs="Times New Roman" w:eastAsia="Times New Roman" w:hAnsi="Times New Roman"/>
          <w:sz w:val="18"/>
          <w:szCs w:val="18"/>
          <w:color w:val="auto"/>
        </w:rPr>
        <w:t>Jann Skinner is a member of our board of directors and serves on our Audit and Risk Committee as Chairman. Our board of directors has determined that Ms. Skinner is an audit committee financial expert and satisfies the “independence” requirements of the rules and regulations of the SEC, the Nasdaq Listing Rules and the ASX Listing Rules.</w:t>
      </w:r>
    </w:p>
    <w:p>
      <w:pPr>
        <w:spacing w:after="0" w:line="17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229" w:lineRule="exact"/>
        <w:rPr>
          <w:sz w:val="20"/>
          <w:szCs w:val="20"/>
          <w:color w:val="auto"/>
        </w:rPr>
      </w:pPr>
    </w:p>
    <w:p>
      <w:pPr>
        <w:jc w:val="both"/>
        <w:ind w:left="20" w:right="280"/>
        <w:spacing w:after="0" w:line="266"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directors, officers, employees, consultants and contractors to the Telix Group. Our Code of Conduct is publicly available on our website at www.telixpharma.com. We post on our website all disclosures that are required by law, the ASX Listing Rules or the Nasdaq Listing Rules concerning any amendments to, or waivers from, any provision of the Code of Conduct.</w:t>
      </w:r>
    </w:p>
    <w:p>
      <w:pPr>
        <w:spacing w:after="0" w:line="17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fiscal years ended December 31, 2024 and 2023, PricewaterhouseCoopers served as our independent registered public accounting firm. The address for PricewaterhouseCoopers is 2 Riverside Quay, Southbank, Victoria 3006, Australia.</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table below sets out the total amount of fees for services rendered to us by PricewaterhouseCoopers in the years ended December 31, 2024 and 2023, and breaks down these amounts by category of service: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40" w:type="dxa"/>
            <w:vAlign w:val="bottom"/>
            <w:tcBorders>
              <w:right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0" w:type="dxa"/>
            <w:vAlign w:val="bottom"/>
          </w:tcPr>
          <w:p>
            <w:pPr>
              <w:spacing w:after="0"/>
              <w:rPr>
                <w:sz w:val="19"/>
                <w:szCs w:val="19"/>
                <w:color w:val="auto"/>
              </w:rPr>
            </w:pPr>
          </w:p>
        </w:tc>
      </w:tr>
      <w:tr>
        <w:trPr>
          <w:trHeight w:val="223"/>
        </w:trPr>
        <w:tc>
          <w:tcPr>
            <w:tcW w:w="83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56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w:t>
            </w:r>
          </w:p>
        </w:tc>
        <w:tc>
          <w:tcPr>
            <w:tcW w:w="20" w:type="dxa"/>
            <w:vAlign w:val="bottom"/>
          </w:tcPr>
          <w:p>
            <w:pPr>
              <w:spacing w:after="0"/>
              <w:rPr>
                <w:sz w:val="19"/>
                <w:szCs w:val="19"/>
                <w:color w:val="auto"/>
              </w:rPr>
            </w:pPr>
          </w:p>
        </w:tc>
      </w:tr>
      <w:tr>
        <w:trPr>
          <w:trHeight w:val="223"/>
        </w:trPr>
        <w:tc>
          <w:tcPr>
            <w:tcW w:w="83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8340" w:type="dxa"/>
            <w:vAlign w:val="bottom"/>
            <w:tcBorders>
              <w:bottom w:val="single" w:sz="8" w:color="auto"/>
              <w:right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9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5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0" w:type="dxa"/>
            <w:vAlign w:val="bottom"/>
          </w:tcPr>
          <w:p>
            <w:pPr>
              <w:spacing w:after="0"/>
              <w:rPr>
                <w:sz w:val="22"/>
                <w:szCs w:val="22"/>
                <w:color w:val="auto"/>
              </w:rPr>
            </w:pPr>
          </w:p>
        </w:tc>
      </w:tr>
      <w:tr>
        <w:trPr>
          <w:trHeight w:val="263"/>
        </w:trPr>
        <w:tc>
          <w:tcPr>
            <w:tcW w:w="8340" w:type="dxa"/>
            <w:vAlign w:val="bottom"/>
            <w:tcBorders>
              <w:bottom w:val="single" w:sz="8" w:color="auto"/>
              <w:right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2</w:t>
            </w:r>
          </w:p>
        </w:tc>
        <w:tc>
          <w:tcPr>
            <w:tcW w:w="90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22"/>
                <w:szCs w:val="22"/>
                <w:color w:val="auto"/>
              </w:rPr>
            </w:pPr>
          </w:p>
        </w:tc>
      </w:tr>
      <w:tr>
        <w:trPr>
          <w:trHeight w:val="263"/>
        </w:trPr>
        <w:tc>
          <w:tcPr>
            <w:tcW w:w="8340" w:type="dxa"/>
            <w:vAlign w:val="bottom"/>
            <w:tcBorders>
              <w:bottom w:val="single" w:sz="8" w:color="auto"/>
              <w:right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3</w:t>
            </w:r>
          </w:p>
        </w:tc>
        <w:tc>
          <w:tcPr>
            <w:tcW w:w="9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5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tcPr>
          <w:p>
            <w:pPr>
              <w:spacing w:after="0"/>
              <w:rPr>
                <w:sz w:val="22"/>
                <w:szCs w:val="22"/>
                <w:color w:val="auto"/>
              </w:rPr>
            </w:pPr>
          </w:p>
        </w:tc>
      </w:tr>
      <w:tr>
        <w:trPr>
          <w:trHeight w:val="264"/>
        </w:trPr>
        <w:tc>
          <w:tcPr>
            <w:tcW w:w="8340" w:type="dxa"/>
            <w:vAlign w:val="bottom"/>
            <w:tcBorders>
              <w:bottom w:val="single" w:sz="8" w:color="auto"/>
              <w:right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4</w:t>
            </w:r>
          </w:p>
        </w:tc>
        <w:tc>
          <w:tcPr>
            <w:tcW w:w="90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r>
      <w:tr>
        <w:trPr>
          <w:trHeight w:val="223"/>
        </w:trPr>
        <w:tc>
          <w:tcPr>
            <w:tcW w:w="83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4,496</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1,842</w:t>
            </w:r>
          </w:p>
        </w:tc>
        <w:tc>
          <w:tcPr>
            <w:tcW w:w="20" w:type="dxa"/>
            <w:vAlign w:val="bottom"/>
          </w:tcPr>
          <w:p>
            <w:pPr>
              <w:spacing w:after="0"/>
              <w:rPr>
                <w:sz w:val="19"/>
                <w:szCs w:val="19"/>
                <w:color w:val="auto"/>
              </w:rPr>
            </w:pPr>
          </w:p>
        </w:tc>
      </w:tr>
    </w:tbl>
    <w:p>
      <w:pPr>
        <w:spacing w:after="0" w:line="198" w:lineRule="exact"/>
        <w:rPr>
          <w:sz w:val="20"/>
          <w:szCs w:val="20"/>
          <w:color w:val="auto"/>
        </w:rPr>
      </w:pPr>
    </w:p>
    <w:p>
      <w:pPr>
        <w:ind w:left="340" w:right="380" w:hanging="238"/>
        <w:spacing w:after="0" w:line="257" w:lineRule="auto"/>
        <w:tabs>
          <w:tab w:leader="none" w:pos="340" w:val="left"/>
        </w:tabs>
        <w:numPr>
          <w:ilvl w:val="0"/>
          <w:numId w:val="16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“Audit fees” include fees for services performed by our external auditor in connection with our annual audit for 2024 and 2023, fees related to the review of semi-annual financial statements, fees related to the pro forma financial information and fees for consultation concerning financial accounting and reporting standards.</w:t>
      </w:r>
    </w:p>
    <w:p>
      <w:pPr>
        <w:spacing w:after="0" w:line="1" w:lineRule="exact"/>
        <w:rPr>
          <w:rFonts w:ascii="Times New Roman" w:cs="Times New Roman" w:eastAsia="Times New Roman" w:hAnsi="Times New Roman"/>
          <w:sz w:val="18"/>
          <w:szCs w:val="18"/>
          <w:color w:val="0A2E94"/>
        </w:rPr>
      </w:pPr>
    </w:p>
    <w:p>
      <w:pPr>
        <w:ind w:left="340" w:right="540" w:hanging="238"/>
        <w:spacing w:after="0" w:line="250" w:lineRule="auto"/>
        <w:tabs>
          <w:tab w:leader="none" w:pos="340" w:val="left"/>
        </w:tabs>
        <w:numPr>
          <w:ilvl w:val="0"/>
          <w:numId w:val="16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“Audit-related fees” relate to assurance and associated services that are traditionally performed by an independent auditor, including accounting consultation and consultation concerning financial accounting, reporting standards and due diligence.</w:t>
      </w:r>
    </w:p>
    <w:p>
      <w:pPr>
        <w:ind w:left="340" w:right="280" w:hanging="238"/>
        <w:spacing w:after="0" w:line="250" w:lineRule="auto"/>
        <w:tabs>
          <w:tab w:leader="none" w:pos="340" w:val="left"/>
        </w:tabs>
        <w:numPr>
          <w:ilvl w:val="0"/>
          <w:numId w:val="16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“Tax fees” include fees for professional services rendered by our independent registered public accounting firm for tax compliance, transfer pricing and tax advice on actual or contemplated transactions.</w:t>
      </w:r>
    </w:p>
    <w:p>
      <w:pPr>
        <w:ind w:left="340" w:hanging="238"/>
        <w:spacing w:after="0"/>
        <w:tabs>
          <w:tab w:leader="none" w:pos="340" w:val="left"/>
        </w:tabs>
        <w:numPr>
          <w:ilvl w:val="0"/>
          <w:numId w:val="166"/>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“All other fees” include fees for services rendered by our independent registered public accounting firm with respect to any other advisory 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Audit and Risk Committee has adopted a pre-approval policy for the engagement of our external auditor to perform certain audit and non-audit services. Pursuant to this policy, which is designed to ensure that such engagements do not impair the independence of our external auditor, pre-approval by the Audit and Risk Committee is required for all audit and non-audit services to be performed by our external auditor, subject to the de minimis exceptions for non-audit services described in Section 10A(i)(1)(B) of the Exchange Act which are approved by the Audit and Risk Committee prior to the completion of the services.</w:t>
      </w:r>
    </w:p>
    <w:p>
      <w:pPr>
        <w:spacing w:after="0" w:line="183"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All engagements by us of our external auditor for 2024 and 2023 were pre-approved by our Audit and Risk Committee, except for non-audit services completed prior to our Nasdaq listing, which were pre-approved by our Group Chief Financial Officer, consistent with our historical pre-listing practice.</w:t>
      </w:r>
    </w:p>
    <w:p>
      <w:pPr>
        <w:spacing w:after="0" w:line="13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color w:val="auto"/>
        </w:rPr>
        <w:t>EXEMPTIONS FROM LISTING STANDARDS FOR AUDIT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color w:val="auto"/>
        </w:rPr>
        <w:t>PURCHASE OF EQUITY SECURITIES BY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 IN REGISTRANT’S CERTIFYING ACCOUNTANT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7"/>
          <w:szCs w:val="17"/>
          <w:b w:val="1"/>
          <w:bCs w:val="1"/>
          <w:color w:val="auto"/>
        </w:rPr>
        <w:t>CORPORATE GOVERNANCE</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Nasdaq Rule 5615(a)(3), foreign private issuers, such as our company, are permitted to follow certain home country corporate governance practices instead of certain provisions of the Nasdaq rules. A foreign private issuer that elects to follow a home country practice instead of any such Nasdaq rules must submit to Nasdaq, in advance, a written statement from an independent counsel in such issuer’s home country certifying that the issuer’s practices are not prohibited by the home country’s laws. We submitted such a written statement to Nasdaq. See “Item 6. Directors, Senior Management and Employees —C. Board Practices— Foreign Private Issuer Exemption” for a summary of such differences.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16J.</w:t>
      </w:r>
      <w:r>
        <w:rPr>
          <w:sz w:val="20"/>
          <w:szCs w:val="20"/>
          <w:color w:val="auto"/>
        </w:rPr>
        <w:tab/>
      </w:r>
      <w:r>
        <w:rPr>
          <w:rFonts w:ascii="Times New Roman" w:cs="Times New Roman" w:eastAsia="Times New Roman" w:hAnsi="Times New Roman"/>
          <w:sz w:val="17"/>
          <w:szCs w:val="17"/>
          <w:b w:val="1"/>
          <w:bCs w:val="1"/>
          <w:color w:val="auto"/>
        </w:rPr>
        <w:t>INSIDER TRADING POLICIES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comprehensive Securities Dealing Policy, or SDP, which applies to all directors, officers and employees as well as contractors and consultants whose terms of engagement apply the SDP to them. The SDP is reviewed and updated by our board of directors on an as needed basis, and at least annually, for currency of practice. The purpose of the SDP is to inform all persons to whom the SDP applies of the laws relating to insider trading, including pursuant to ASX Listing Rules, the rules and regulations of the SEC, and the Nasdaq Listing Rules, and to provide them with practical guidance for avoiding unlawful transactions in Telix securities and to protect our reputation.</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Our SDP also prohibits short-term or speculative dealing in Telix securities by directors and employees. In addition, directors and employees are not permitted to enter into any hedging arrangements that operate to limit the economic risk associated with holding Telix securities or margin loan arrangements in relation to Telix securities. This includes securities awarded under Telix’s equity incentive schemes.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copy of the current SDP is available in the Corporate Governance section of our website at www.telixpharma.com, and is included as an exhibit to this annual report on Form 20-F.</w:t>
      </w:r>
    </w:p>
    <w:p>
      <w:pPr>
        <w:spacing w:after="0" w:line="15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information, and data. Our cybersecurity policies, standards, processes, and practices are part of our information security management system, or ISMS, program, which is aligned to ISO 27001:2022, an international standard for information security management.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ISMS program is led by our Chief Information Officer and Cyber Security Manager. Our policy is that information in all forms must be protected from accidental or intentional unauthorized modification, destruction or disclosure throughout its lifecycle. This protection includes an appropriate level of security over the equipment, processes and software used to process, store and transmit information. We have established and seek to continuously improve effective information security governance. We apply a risk-based approach in line with our general risk management framework to address potential gaps in security controls. All employees and contractors undertake regular information security training.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include, but are not limited to the following:</w:t>
      </w:r>
    </w:p>
    <w:p>
      <w:pPr>
        <w:spacing w:after="0" w:line="225" w:lineRule="exact"/>
        <w:rPr>
          <w:sz w:val="20"/>
          <w:szCs w:val="20"/>
          <w:color w:val="auto"/>
        </w:rPr>
      </w:pPr>
    </w:p>
    <w:p>
      <w:pPr>
        <w:ind w:left="500" w:hanging="398"/>
        <w:spacing w:after="0"/>
        <w:tabs>
          <w:tab w:leader="none" w:pos="500" w:val="left"/>
        </w:tabs>
        <w:numPr>
          <w:ilvl w:val="0"/>
          <w:numId w:val="16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 cybersecurity threat defense system that addresses both internal and external threats;</w:t>
      </w:r>
    </w:p>
    <w:p>
      <w:pPr>
        <w:spacing w:after="0" w:line="27" w:lineRule="exact"/>
        <w:rPr>
          <w:rFonts w:ascii="Times New Roman" w:cs="Times New Roman" w:eastAsia="Times New Roman" w:hAnsi="Times New Roman"/>
          <w:sz w:val="18"/>
          <w:szCs w:val="18"/>
          <w:color w:val="0A2E94"/>
        </w:rPr>
      </w:pPr>
    </w:p>
    <w:p>
      <w:pPr>
        <w:ind w:left="500" w:right="400" w:hanging="398"/>
        <w:spacing w:after="0" w:line="250" w:lineRule="auto"/>
        <w:tabs>
          <w:tab w:leader="none" w:pos="500" w:val="left"/>
        </w:tabs>
        <w:numPr>
          <w:ilvl w:val="0"/>
          <w:numId w:val="16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 cybersecurity incident response plan that includes procedures for responding to cybersecurity incidents and risk assessments designed to help identify material cybersecurity risks to our critical systems, information, products, services, and our broader enterprise IT environment;</w:t>
      </w:r>
    </w:p>
    <w:p>
      <w:pPr>
        <w:ind w:left="500" w:right="60" w:hanging="398"/>
        <w:spacing w:after="0" w:line="250" w:lineRule="auto"/>
        <w:tabs>
          <w:tab w:leader="none" w:pos="500" w:val="left"/>
        </w:tabs>
        <w:numPr>
          <w:ilvl w:val="0"/>
          <w:numId w:val="16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ind w:left="500" w:hanging="398"/>
        <w:spacing w:after="0"/>
        <w:tabs>
          <w:tab w:leader="none" w:pos="500" w:val="left"/>
        </w:tabs>
        <w:numPr>
          <w:ilvl w:val="0"/>
          <w:numId w:val="16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processes;</w:t>
      </w:r>
    </w:p>
    <w:p>
      <w:pPr>
        <w:spacing w:after="0" w:line="9" w:lineRule="exact"/>
        <w:rPr>
          <w:rFonts w:ascii="Times New Roman" w:cs="Times New Roman" w:eastAsia="Times New Roman" w:hAnsi="Times New Roman"/>
          <w:sz w:val="18"/>
          <w:szCs w:val="18"/>
          <w:color w:val="0A2E94"/>
        </w:rPr>
      </w:pPr>
    </w:p>
    <w:p>
      <w:pPr>
        <w:ind w:left="500" w:right="320" w:hanging="398"/>
        <w:spacing w:after="0" w:line="250" w:lineRule="auto"/>
        <w:tabs>
          <w:tab w:leader="none" w:pos="500" w:val="left"/>
        </w:tabs>
        <w:numPr>
          <w:ilvl w:val="0"/>
          <w:numId w:val="16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 third-party risk management process for key service providers based on our assessment of their criticality to our operations and respective risk profile;</w:t>
      </w:r>
    </w:p>
    <w:p>
      <w:pPr>
        <w:ind w:left="500" w:hanging="398"/>
        <w:spacing w:after="0"/>
        <w:tabs>
          <w:tab w:leader="none" w:pos="500" w:val="left"/>
        </w:tabs>
        <w:numPr>
          <w:ilvl w:val="0"/>
          <w:numId w:val="16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network, host and application security; and</w:t>
      </w:r>
    </w:p>
    <w:p>
      <w:pPr>
        <w:spacing w:after="0" w:line="9" w:lineRule="exact"/>
        <w:rPr>
          <w:rFonts w:ascii="Times New Roman" w:cs="Times New Roman" w:eastAsia="Times New Roman" w:hAnsi="Times New Roman"/>
          <w:sz w:val="18"/>
          <w:szCs w:val="18"/>
          <w:color w:val="0A2E94"/>
        </w:rPr>
      </w:pPr>
    </w:p>
    <w:p>
      <w:pPr>
        <w:ind w:left="500" w:hanging="398"/>
        <w:spacing w:after="0"/>
        <w:tabs>
          <w:tab w:leader="none" w:pos="500" w:val="left"/>
        </w:tabs>
        <w:numPr>
          <w:ilvl w:val="0"/>
          <w:numId w:val="167"/>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sensitive information protection methods, including:</w:t>
      </w:r>
    </w:p>
    <w:p>
      <w:pPr>
        <w:spacing w:after="0" w:line="9" w:lineRule="exact"/>
        <w:rPr>
          <w:rFonts w:ascii="Times New Roman" w:cs="Times New Roman" w:eastAsia="Times New Roman" w:hAnsi="Times New Roman"/>
          <w:sz w:val="18"/>
          <w:szCs w:val="18"/>
          <w:color w:val="0A2E94"/>
        </w:rPr>
      </w:pPr>
    </w:p>
    <w:p>
      <w:pPr>
        <w:ind w:left="680" w:hanging="402"/>
        <w:spacing w:after="0"/>
        <w:tabs>
          <w:tab w:leader="none" w:pos="68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safeguards;</w:t>
      </w:r>
    </w:p>
    <w:p>
      <w:pPr>
        <w:spacing w:after="0" w:line="9"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procedural requirements;</w:t>
      </w:r>
    </w:p>
    <w:p>
      <w:pPr>
        <w:spacing w:after="0" w:line="9"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program on our corporate network;</w:t>
      </w:r>
    </w:p>
    <w:p>
      <w:pPr>
        <w:spacing w:after="0" w:line="9"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testing of our security posture both internally and with outside vendors;</w:t>
      </w:r>
    </w:p>
    <w:p>
      <w:pPr>
        <w:spacing w:after="0" w:line="9"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system effectiveness reviews with reference to applicable security standards; and</w:t>
      </w:r>
    </w:p>
    <w:p>
      <w:pPr>
        <w:spacing w:after="0" w:line="9"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cybersecurity awareness training for employees.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cybersecurity incidents or risks from cybersecurity threats that have materially affected or are reasonably likely to materially affect us, our business strategy, results of operations,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responsible for overseeing cybersecurity risk as part of its risk oversight function and has delegated to the Audit and Risk Committee oversight of cybersecurity and other information technology risks. The Audit and Risk Committee oversees management’s implementation of our cybersecurity risk management program.</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Additionally, our risk monitoring systems are regularly audited by our internal auditors as well as cyber security audit companies. We consider the results of external and internal audits of our risk detection and monitoring systems and implement modifications as necessary.</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cybersecurity management team, led by our Chief Information Officer and Cyber Security Manager, are responsible for assessing and managing our material risks from cybersecurity threats. The team is primarily responsible for our overall cybersecurity risk management program and supervises both our internal cybersecurity personnel and our retained external cybersecurity consultants. Our cybersecurity management team has relevant academic backgrounds and possesses extensive knowledge in cybersecurity risk management.</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cybersecurity management team is informed about and monitors the prevention, detection, mitigation, and remediation of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elected to include financial statements and related information specified in Item 18.</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are filed as part of this annual report, beginning on page F-1.</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19.</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38"/>
        </w:trPr>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5"/>
        </w:trPr>
        <w:tc>
          <w:tcPr>
            <w:tcW w:w="3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hyperlink>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3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Certificate of Registration of the Company (incorporated by reference to Exhibit 1.1 to the Company’s Registration Statement on Form 20-</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 (001-42128) filed October 29, 2024).</w:t>
            </w:r>
          </w:p>
        </w:tc>
      </w:tr>
      <w:tr>
        <w:trPr>
          <w:trHeight w:val="176"/>
        </w:trPr>
        <w:tc>
          <w:tcPr>
            <w:tcW w:w="320" w:type="dxa"/>
            <w:vAlign w:val="bottom"/>
            <w:gridSpan w:val="2"/>
          </w:tcPr>
          <w:p>
            <w:pPr>
              <w:spacing w:after="0" w:line="17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2</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3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w w:val="99"/>
              </w:rPr>
              <w:t>Constitution of the Company (incorporated by reference to Exhibit 1.2 to the Company’s Registration Statement on Form 20-F (001-42128)</w:t>
            </w:r>
          </w:p>
        </w:tc>
      </w:tr>
      <w:tr>
        <w:trPr>
          <w:trHeight w:val="236"/>
        </w:trPr>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filed October 29, 2024).</w:t>
            </w:r>
          </w:p>
        </w:tc>
      </w:tr>
      <w:tr>
        <w:trPr>
          <w:trHeight w:val="176"/>
        </w:trPr>
        <w:tc>
          <w:tcPr>
            <w:tcW w:w="3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3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Deposit Agreement (incorporated by reference to Exhibit 2.1 to the Company’s Registration Statement on Form 20-F (001-42128) filed</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October 29, 2024).</w:t>
            </w:r>
          </w:p>
        </w:tc>
      </w:tr>
      <w:tr>
        <w:trPr>
          <w:trHeight w:val="175"/>
        </w:trPr>
        <w:tc>
          <w:tcPr>
            <w:tcW w:w="320" w:type="dxa"/>
            <w:vAlign w:val="bottom"/>
            <w:gridSpan w:val="2"/>
          </w:tcPr>
          <w:p>
            <w:pPr>
              <w:spacing w:after="0" w:line="17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3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Form of American Depositary Receipt evidencing American Depositary Shares (included in Exhibit 2.1).</w:t>
            </w:r>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3</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340" w:type="dxa"/>
            <w:vAlign w:val="bottom"/>
            <w:tcBorders>
              <w:bottom w:val="single" w:sz="8" w:color="CCEEFF"/>
            </w:tcBorders>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Description of Securities Registered under Section 12 of the Exchange Act (filed herewith)</w:t>
            </w:r>
          </w:p>
        </w:tc>
      </w:tr>
      <w:tr>
        <w:trPr>
          <w:trHeight w:val="176"/>
        </w:trPr>
        <w:tc>
          <w:tcPr>
            <w:tcW w:w="900" w:type="dxa"/>
            <w:vAlign w:val="bottom"/>
            <w:gridSpan w:val="5"/>
          </w:tcPr>
          <w:p>
            <w:pPr>
              <w:spacing w:after="0" w:line="17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103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License Agreement between Telix International Pty Ltd. and Eli Lilly Kinsale Limited, dated as of April 8, 2022, as amended (incorporated</w:t>
            </w:r>
          </w:p>
        </w:tc>
      </w:tr>
      <w:tr>
        <w:trPr>
          <w:trHeight w:val="236"/>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by reference to Exhibit 4.1 to the Company’s Registration Statement on Form 20-F (001-42128) filed October 29, 2024).</w:t>
            </w:r>
          </w:p>
        </w:tc>
      </w:tr>
      <w:tr>
        <w:trPr>
          <w:trHeight w:val="176"/>
        </w:trPr>
        <w:tc>
          <w:tcPr>
            <w:tcW w:w="9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103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License Agreement between Telix International Pty Ltd. and Wilex AG, dated as of January 16, 2017, as amended (incorporated by</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reference to Exhibit 4.2 to the Company’s Registration Statement on Form 20-F (001-42128) filed October 29, 2024).</w:t>
            </w:r>
          </w:p>
        </w:tc>
      </w:tr>
      <w:tr>
        <w:trPr>
          <w:trHeight w:val="175"/>
        </w:trPr>
        <w:tc>
          <w:tcPr>
            <w:tcW w:w="320" w:type="dxa"/>
            <w:vAlign w:val="bottom"/>
            <w:gridSpan w:val="2"/>
          </w:tcPr>
          <w:p>
            <w:pPr>
              <w:spacing w:after="0" w:line="17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3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Form of Deed of Indemnity, Insurance and Access (incorporated by reference to Exhibit 4.3 to the Company’s Registration Statement on</w:t>
            </w:r>
          </w:p>
        </w:tc>
      </w:tr>
      <w:tr>
        <w:trPr>
          <w:trHeight w:val="236"/>
        </w:trPr>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20-F (001-42128) filed October 29, 2024).</w:t>
            </w:r>
          </w:p>
        </w:tc>
      </w:tr>
      <w:tr>
        <w:trPr>
          <w:trHeight w:val="175"/>
        </w:trPr>
        <w:tc>
          <w:tcPr>
            <w:tcW w:w="3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3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Lease Agreement, dated November 30, 2022, by and between Collan Investment Limited and Telix International Pty Ltd (incorporated by</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reference to Exhibit 4.4 to the Company’s Registration Statement on Form 20-F (001-42128) filed October 29, 2024).</w:t>
            </w:r>
          </w:p>
        </w:tc>
      </w:tr>
      <w:tr>
        <w:trPr>
          <w:trHeight w:val="175"/>
        </w:trPr>
        <w:tc>
          <w:tcPr>
            <w:tcW w:w="320" w:type="dxa"/>
            <w:vAlign w:val="bottom"/>
            <w:gridSpan w:val="2"/>
          </w:tcPr>
          <w:p>
            <w:pPr>
              <w:spacing w:after="0" w:line="17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3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w w:val="99"/>
              </w:rPr>
              <w:t>Lease Agreement, dated April 22, 2022, by and between Crew HQ, LLC and Telix Pharmaceuticals (US), Inc. (incorporated by reference to</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Exhibit 4.5 to the Company’s Registration Statement on Form 20-F (001-42128) filed October 29, 2024).</w:t>
            </w:r>
          </w:p>
        </w:tc>
      </w:tr>
      <w:tr>
        <w:trPr>
          <w:trHeight w:val="175"/>
        </w:trPr>
        <w:tc>
          <w:tcPr>
            <w:tcW w:w="3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hyperlink>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3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Loan Agreement, dated March 3, 2022, by and between Telix Pharmaceuticals (Belgium) SPRL and BNP Paribas Fortis (incorporated by</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reference to Exhibit 4.6 to the Company’s Registration Statement on Form 20-F (001-42128) filed October 29, 2024).</w:t>
            </w:r>
          </w:p>
        </w:tc>
      </w:tr>
      <w:tr>
        <w:trPr>
          <w:trHeight w:val="176"/>
        </w:trPr>
        <w:tc>
          <w:tcPr>
            <w:tcW w:w="320" w:type="dxa"/>
            <w:vAlign w:val="bottom"/>
            <w:gridSpan w:val="2"/>
          </w:tcPr>
          <w:p>
            <w:pPr>
              <w:spacing w:after="0" w:line="17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3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Loan Agreement, dated March 3, 2022, by and between Telix Pharmaceuticals (Belgium) SPRL and IMBC (incorporated by reference to</w:t>
            </w:r>
          </w:p>
        </w:tc>
      </w:tr>
      <w:tr>
        <w:trPr>
          <w:trHeight w:val="236"/>
        </w:trPr>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Exhibit 4.7 to the Company’s Registration Statement on Form 20-F (001-42128) filed October 29, 2024).</w:t>
            </w:r>
          </w:p>
        </w:tc>
      </w:tr>
      <w:tr>
        <w:trPr>
          <w:trHeight w:val="196"/>
        </w:trPr>
        <w:tc>
          <w:tcPr>
            <w:tcW w:w="3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8+</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340" w:type="dxa"/>
            <w:vAlign w:val="bottom"/>
            <w:tcBorders>
              <w:bottom w:val="single" w:sz="8" w:color="CCEEFF"/>
            </w:tcBorders>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Equity Incentive Plan Rules (filed herewith).</w:t>
            </w:r>
          </w:p>
        </w:tc>
      </w:tr>
      <w:tr>
        <w:trPr>
          <w:trHeight w:val="175"/>
        </w:trPr>
        <w:tc>
          <w:tcPr>
            <w:tcW w:w="420" w:type="dxa"/>
            <w:vAlign w:val="bottom"/>
            <w:gridSpan w:val="4"/>
          </w:tcPr>
          <w:p>
            <w:pPr>
              <w:spacing w:after="0" w:line="17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9+</w:t>
              </w:r>
            </w:hyperlink>
          </w:p>
        </w:tc>
        <w:tc>
          <w:tcPr>
            <w:tcW w:w="480" w:type="dxa"/>
            <w:vAlign w:val="bottom"/>
          </w:tcPr>
          <w:p>
            <w:pPr>
              <w:spacing w:after="0"/>
              <w:rPr>
                <w:sz w:val="15"/>
                <w:szCs w:val="15"/>
                <w:color w:val="auto"/>
              </w:rPr>
            </w:pPr>
          </w:p>
        </w:tc>
        <w:tc>
          <w:tcPr>
            <w:tcW w:w="103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Employment Agreement, dated January 16, 2017, by and between Telix Pharmaceuticals Limited and Christian Behrenbruch (incorporated</w:t>
            </w:r>
          </w:p>
        </w:tc>
      </w:tr>
      <w:tr>
        <w:trPr>
          <w:trHeight w:val="236"/>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by reference to Exhibit 4.9 to the Company’s Registration Statement on Form 20-F (001-42128) filed October 29, 2024).</w:t>
            </w:r>
          </w:p>
        </w:tc>
      </w:tr>
      <w:tr>
        <w:trPr>
          <w:trHeight w:val="175"/>
        </w:trPr>
        <w:tc>
          <w:tcPr>
            <w:tcW w:w="9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hyperlink>
          </w:p>
        </w:tc>
        <w:tc>
          <w:tcPr>
            <w:tcW w:w="103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Employment Agreement, dated August 1, 2022, by and between Telix Pharmaceuticals Limited and Darren Smith (incorporated by</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reference to Exhibit 4.10 to the Company’s Registration Statement on Form 20-F (001-42128) filed October 29, 2024).</w:t>
            </w:r>
          </w:p>
        </w:tc>
      </w:tr>
      <w:tr>
        <w:trPr>
          <w:trHeight w:val="175"/>
        </w:trPr>
        <w:tc>
          <w:tcPr>
            <w:tcW w:w="420" w:type="dxa"/>
            <w:vAlign w:val="bottom"/>
            <w:tcBorders>
              <w:bottom w:val="single" w:sz="8" w:color="0000EE"/>
            </w:tcBorders>
            <w:gridSpan w:val="4"/>
          </w:tcPr>
          <w:p>
            <w:pPr>
              <w:spacing w:after="0" w:line="176" w:lineRule="exact"/>
              <w:rPr>
                <w:rFonts w:ascii="Times New Roman" w:cs="Times New Roman" w:eastAsia="Times New Roman" w:hAnsi="Times New Roman"/>
                <w:sz w:val="18"/>
                <w:szCs w:val="18"/>
                <w:color w:val="0000EE"/>
                <w:w w:val="95"/>
              </w:rPr>
            </w:pPr>
            <w:hyperlink r:id="rId255">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11+</w:t>
              </w:r>
            </w:hyperlink>
          </w:p>
        </w:tc>
        <w:tc>
          <w:tcPr>
            <w:tcW w:w="480" w:type="dxa"/>
            <w:vAlign w:val="bottom"/>
          </w:tcPr>
          <w:p>
            <w:pPr>
              <w:spacing w:after="0"/>
              <w:rPr>
                <w:sz w:val="15"/>
                <w:szCs w:val="15"/>
                <w:color w:val="auto"/>
              </w:rPr>
            </w:pPr>
          </w:p>
        </w:tc>
        <w:tc>
          <w:tcPr>
            <w:tcW w:w="103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Employment Agreement, dated December 20, 2023, by and between Telix Pharmaceuticals Limited and David Cade (incorporated by</w:t>
            </w:r>
          </w:p>
        </w:tc>
      </w:tr>
      <w:tr>
        <w:trPr>
          <w:trHeight w:val="237"/>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reference to Exhibit 4.11 to the Company’s Registration Statement on Form 20-F (001-42128) filed October 29, 2024).</w:t>
            </w:r>
          </w:p>
        </w:tc>
      </w:tr>
      <w:tr>
        <w:trPr>
          <w:trHeight w:val="175"/>
        </w:trPr>
        <w:tc>
          <w:tcPr>
            <w:tcW w:w="9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12+</w:t>
              </w:r>
            </w:hyperlink>
          </w:p>
        </w:tc>
        <w:tc>
          <w:tcPr>
            <w:tcW w:w="103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Employment Agreement, dated March 5, 2024, by and between Telix Pharmaceuticals (US) Inc. and Darren Patti (incorporated by</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reference to Exhibit 4.12 to the Company’s Registration Statement on Form 20-F (001-42128) filed October 29, 2024).</w:t>
            </w:r>
          </w:p>
        </w:tc>
      </w:tr>
      <w:tr>
        <w:trPr>
          <w:trHeight w:val="176"/>
        </w:trPr>
        <w:tc>
          <w:tcPr>
            <w:tcW w:w="900" w:type="dxa"/>
            <w:vAlign w:val="bottom"/>
            <w:gridSpan w:val="5"/>
          </w:tcPr>
          <w:p>
            <w:pPr>
              <w:spacing w:after="0" w:line="17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13+</w:t>
              </w:r>
            </w:hyperlink>
          </w:p>
        </w:tc>
        <w:tc>
          <w:tcPr>
            <w:tcW w:w="103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Form of Non-Executive Director Agreement (incorporated by reference to Exhibit 4.13 to the Company’s Registration Statement on Form</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8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20-F (001-42128) filed October 29, 2024).</w:t>
            </w:r>
          </w:p>
        </w:tc>
      </w:tr>
      <w:tr>
        <w:trPr>
          <w:trHeight w:val="570"/>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340" w:type="dxa"/>
            <w:vAlign w:val="bottom"/>
          </w:tcPr>
          <w:p>
            <w:pPr>
              <w:ind w:left="4620"/>
              <w:spacing w:after="0"/>
              <w:rPr>
                <w:sz w:val="20"/>
                <w:szCs w:val="20"/>
                <w:color w:val="auto"/>
              </w:rPr>
            </w:pPr>
            <w:r>
              <w:rPr>
                <w:rFonts w:ascii="Times New Roman" w:cs="Times New Roman" w:eastAsia="Times New Roman" w:hAnsi="Times New Roman"/>
                <w:sz w:val="14"/>
                <w:szCs w:val="14"/>
                <w:color w:val="auto"/>
              </w:rPr>
              <w:t>233</w:t>
            </w:r>
          </w:p>
        </w:tc>
      </w:tr>
      <w:tr>
        <w:trPr>
          <w:trHeight w:val="44"/>
        </w:trPr>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3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3"/>
            <w:shd w:val="clear" w:color="auto" w:fill="CCEEFF"/>
          </w:tcPr>
          <w:p>
            <w:pPr>
              <w:spacing w:after="0"/>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14</w:t>
              </w:r>
            </w:hyperlink>
          </w:p>
        </w:tc>
        <w:tc>
          <w:tcPr>
            <w:tcW w:w="500" w:type="dxa"/>
            <w:vAlign w:val="bottom"/>
            <w:shd w:val="clear" w:color="auto" w:fill="CCEEFF"/>
          </w:tcPr>
          <w:p>
            <w:pPr>
              <w:spacing w:after="0"/>
              <w:rPr>
                <w:sz w:val="17"/>
                <w:szCs w:val="17"/>
                <w:color w:val="auto"/>
              </w:rPr>
            </w:pP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Agreement and Plan of Merger, dated as of February 7, 2024, by and among Telix Pharmaceuticals Limited, QSAM Biosciences, Inc.,</w:t>
            </w:r>
          </w:p>
        </w:tc>
      </w:tr>
      <w:tr>
        <w:trPr>
          <w:trHeight w:val="218"/>
        </w:trPr>
        <w:tc>
          <w:tcPr>
            <w:tcW w:w="2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Cyclone Merger Sub I, Inc., Cyclone Merger Sub II, Inc. and David H. Clarke (incorporated by reference to Exhibit 4.14 to the Company’s</w:t>
            </w:r>
          </w:p>
        </w:tc>
      </w:tr>
      <w:tr>
        <w:trPr>
          <w:trHeight w:val="234"/>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Registration Statement on Form 20-F (001-42128) filed October 29, 2024).</w:t>
            </w:r>
          </w:p>
        </w:tc>
      </w:tr>
      <w:tr>
        <w:trPr>
          <w:trHeight w:val="176"/>
        </w:trPr>
        <w:tc>
          <w:tcPr>
            <w:tcW w:w="920" w:type="dxa"/>
            <w:vAlign w:val="bottom"/>
            <w:gridSpan w:val="4"/>
          </w:tcPr>
          <w:p>
            <w:pPr>
              <w:spacing w:after="0" w:line="17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15†</w:t>
              </w:r>
            </w:hyperlink>
          </w:p>
        </w:tc>
        <w:tc>
          <w:tcPr>
            <w:tcW w:w="103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w w:val="99"/>
              </w:rPr>
              <w:t>Share Purchase Agreement, dated as of March 4, 2024, between ARTMS Inc. and Telix Pharmaceuticals Limited (incorporated by reference</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500" w:type="dxa"/>
            <w:vAlign w:val="bottom"/>
          </w:tcPr>
          <w:p>
            <w:pPr>
              <w:spacing w:after="0"/>
              <w:rPr>
                <w:sz w:val="20"/>
                <w:szCs w:val="20"/>
                <w:color w:val="auto"/>
              </w:rPr>
            </w:pP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Exhibit 4.15 to the Company’s Registration Statement on Form 20-F (001-42128) filed October 29, 2024).</w:t>
            </w:r>
          </w:p>
        </w:tc>
      </w:tr>
      <w:tr>
        <w:trPr>
          <w:trHeight w:val="175"/>
        </w:trPr>
        <w:tc>
          <w:tcPr>
            <w:tcW w:w="4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16</w:t>
              </w:r>
            </w:hyperlink>
          </w:p>
        </w:tc>
        <w:tc>
          <w:tcPr>
            <w:tcW w:w="500" w:type="dxa"/>
            <w:vAlign w:val="bottom"/>
            <w:shd w:val="clear" w:color="auto" w:fill="CCEEFF"/>
          </w:tcPr>
          <w:p>
            <w:pPr>
              <w:spacing w:after="0"/>
              <w:rPr>
                <w:sz w:val="15"/>
                <w:szCs w:val="15"/>
                <w:color w:val="auto"/>
              </w:rPr>
            </w:pPr>
          </w:p>
        </w:tc>
        <w:tc>
          <w:tcPr>
            <w:tcW w:w="103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Trust Deed, dated as of July 30, 2024, between Telix Pharmaceuticals Limited and The Hongkong and Shanghai Banking Corporation</w:t>
            </w:r>
          </w:p>
        </w:tc>
      </w:tr>
      <w:tr>
        <w:trPr>
          <w:trHeight w:val="218"/>
        </w:trPr>
        <w:tc>
          <w:tcPr>
            <w:tcW w:w="2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Limited (incorporated by reference to Exhibit 4.16 to the Company’s Registration Statement on Form 20-F (001-42128) filed October 29,</w:t>
            </w:r>
          </w:p>
        </w:tc>
      </w:tr>
      <w:tr>
        <w:trPr>
          <w:trHeight w:val="234"/>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r>
      <w:tr>
        <w:trPr>
          <w:trHeight w:val="176"/>
        </w:trPr>
        <w:tc>
          <w:tcPr>
            <w:tcW w:w="420" w:type="dxa"/>
            <w:vAlign w:val="bottom"/>
            <w:gridSpan w:val="3"/>
          </w:tcPr>
          <w:p>
            <w:pPr>
              <w:spacing w:after="0" w:line="17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17</w:t>
              </w:r>
            </w:hyperlink>
          </w:p>
        </w:tc>
        <w:tc>
          <w:tcPr>
            <w:tcW w:w="500" w:type="dxa"/>
            <w:vAlign w:val="bottom"/>
          </w:tcPr>
          <w:p>
            <w:pPr>
              <w:spacing w:after="0"/>
              <w:rPr>
                <w:sz w:val="15"/>
                <w:szCs w:val="15"/>
                <w:color w:val="auto"/>
              </w:rPr>
            </w:pPr>
          </w:p>
        </w:tc>
        <w:tc>
          <w:tcPr>
            <w:tcW w:w="103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Stock Purchase Agreement, dated as of September 20, 2024, by and among Telix Pharmaceuticals (US) Inc., RLS Group Ltd., RLS (USA),</w:t>
            </w:r>
          </w:p>
        </w:tc>
      </w:tr>
      <w:tr>
        <w:trPr>
          <w:trHeight w:val="218"/>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 and Perceptive Credit Holdings III, LP (incorporated by reference to Exhibit 4.17 to the Company’s Registration Statement on Form</w:t>
            </w: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20-F (001-42128) filed October 29, 2024).</w:t>
            </w:r>
          </w:p>
        </w:tc>
      </w:tr>
      <w:tr>
        <w:trPr>
          <w:trHeight w:val="175"/>
        </w:trPr>
        <w:tc>
          <w:tcPr>
            <w:tcW w:w="4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18</w:t>
            </w:r>
          </w:p>
        </w:tc>
        <w:tc>
          <w:tcPr>
            <w:tcW w:w="500" w:type="dxa"/>
            <w:vAlign w:val="bottom"/>
            <w:shd w:val="clear" w:color="auto" w:fill="CCEEFF"/>
          </w:tcPr>
          <w:p>
            <w:pPr>
              <w:spacing w:after="0"/>
              <w:rPr>
                <w:sz w:val="15"/>
                <w:szCs w:val="15"/>
                <w:color w:val="auto"/>
              </w:rPr>
            </w:pPr>
          </w:p>
        </w:tc>
        <w:tc>
          <w:tcPr>
            <w:tcW w:w="103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Amendment No. 1 to the Stock Purchase Agreement, dated as of January 26, 2025, by and among Telix Pharmaceuticals (US) Inc., RLS</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Group Ltd., RLS (USA), Inc. and Perceptive Credit Holdings III, LP (filed herewith).</w:t>
            </w:r>
          </w:p>
        </w:tc>
      </w:tr>
      <w:tr>
        <w:trPr>
          <w:trHeight w:val="176"/>
        </w:trPr>
        <w:tc>
          <w:tcPr>
            <w:tcW w:w="4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19</w:t>
            </w:r>
          </w:p>
        </w:tc>
        <w:tc>
          <w:tcPr>
            <w:tcW w:w="500" w:type="dxa"/>
            <w:vAlign w:val="bottom"/>
          </w:tcPr>
          <w:p>
            <w:pPr>
              <w:spacing w:after="0"/>
              <w:rPr>
                <w:sz w:val="15"/>
                <w:szCs w:val="15"/>
                <w:color w:val="auto"/>
              </w:rPr>
            </w:pPr>
          </w:p>
        </w:tc>
        <w:tc>
          <w:tcPr>
            <w:tcW w:w="103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US Employee Stock Purchase Program (filed herewith).</w:t>
            </w:r>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320" w:type="dxa"/>
            <w:vAlign w:val="bottom"/>
            <w:tcBorders>
              <w:bottom w:val="single" w:sz="8" w:color="CCEEFF"/>
            </w:tcBorders>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List of subsidiaries (filed herewith).</w:t>
            </w:r>
          </w:p>
        </w:tc>
      </w:tr>
      <w:tr>
        <w:trPr>
          <w:trHeight w:val="176"/>
        </w:trPr>
        <w:tc>
          <w:tcPr>
            <w:tcW w:w="32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5"/>
              </w:rPr>
              <w:t>11.</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3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Securities Dealing Policy (filed herewith).</w:t>
            </w:r>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r>
      <w:tr>
        <w:trPr>
          <w:trHeight w:val="175"/>
        </w:trPr>
        <w:tc>
          <w:tcPr>
            <w:tcW w:w="4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12.</w:t>
            </w:r>
            <w:r>
              <w:rPr>
                <w:rFonts w:ascii="Times New Roman" w:cs="Times New Roman" w:eastAsia="Times New Roman" w:hAnsi="Times New Roman"/>
                <w:sz w:val="18"/>
                <w:szCs w:val="18"/>
                <w:u w:val="single" w:color="auto"/>
                <w:color w:val="0000EE"/>
              </w:rPr>
              <w:t>1</w:t>
            </w:r>
          </w:p>
        </w:tc>
        <w:tc>
          <w:tcPr>
            <w:tcW w:w="500" w:type="dxa"/>
            <w:vAlign w:val="bottom"/>
            <w:shd w:val="clear" w:color="auto" w:fill="CCEEFF"/>
          </w:tcPr>
          <w:p>
            <w:pPr>
              <w:spacing w:after="0"/>
              <w:rPr>
                <w:sz w:val="15"/>
                <w:szCs w:val="15"/>
                <w:color w:val="auto"/>
              </w:rPr>
            </w:pPr>
          </w:p>
        </w:tc>
        <w:tc>
          <w:tcPr>
            <w:tcW w:w="103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Rule 13a-14(a)/15d-14(a), as adopted pursuant to Section 302 of the Sarbanes-</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Oxley Act of 2002 (filed herewith).</w:t>
            </w:r>
          </w:p>
        </w:tc>
      </w:tr>
      <w:tr>
        <w:trPr>
          <w:trHeight w:val="176"/>
        </w:trPr>
        <w:tc>
          <w:tcPr>
            <w:tcW w:w="4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12.</w:t>
            </w:r>
            <w:r>
              <w:rPr>
                <w:rFonts w:ascii="Times New Roman" w:cs="Times New Roman" w:eastAsia="Times New Roman" w:hAnsi="Times New Roman"/>
                <w:sz w:val="18"/>
                <w:szCs w:val="18"/>
                <w:u w:val="single" w:color="auto"/>
                <w:color w:val="0000EE"/>
              </w:rPr>
              <w:t>2</w:t>
            </w:r>
          </w:p>
        </w:tc>
        <w:tc>
          <w:tcPr>
            <w:tcW w:w="500" w:type="dxa"/>
            <w:vAlign w:val="bottom"/>
          </w:tcPr>
          <w:p>
            <w:pPr>
              <w:spacing w:after="0"/>
              <w:rPr>
                <w:sz w:val="15"/>
                <w:szCs w:val="15"/>
                <w:color w:val="auto"/>
              </w:rPr>
            </w:pPr>
          </w:p>
        </w:tc>
        <w:tc>
          <w:tcPr>
            <w:tcW w:w="103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Rule 13a-14(a)/15d-14(a), as adopted pursuant to Section 302 of the Sarbanes-Oxley</w:t>
            </w:r>
          </w:p>
        </w:tc>
      </w:tr>
      <w:tr>
        <w:trPr>
          <w:trHeight w:val="236"/>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 of 2002 (filed herewith).</w:t>
            </w:r>
          </w:p>
        </w:tc>
      </w:tr>
      <w:tr>
        <w:trPr>
          <w:trHeight w:val="176"/>
        </w:trPr>
        <w:tc>
          <w:tcPr>
            <w:tcW w:w="4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13.</w:t>
            </w:r>
            <w:r>
              <w:rPr>
                <w:rFonts w:ascii="Times New Roman" w:cs="Times New Roman" w:eastAsia="Times New Roman" w:hAnsi="Times New Roman"/>
                <w:sz w:val="18"/>
                <w:szCs w:val="18"/>
                <w:u w:val="single" w:color="auto"/>
                <w:color w:val="0000EE"/>
              </w:rPr>
              <w:t>1</w:t>
            </w:r>
          </w:p>
        </w:tc>
        <w:tc>
          <w:tcPr>
            <w:tcW w:w="500" w:type="dxa"/>
            <w:vAlign w:val="bottom"/>
            <w:shd w:val="clear" w:color="auto" w:fill="CCEEFF"/>
          </w:tcPr>
          <w:p>
            <w:pPr>
              <w:spacing w:after="0"/>
              <w:rPr>
                <w:sz w:val="15"/>
                <w:szCs w:val="15"/>
                <w:color w:val="auto"/>
              </w:rPr>
            </w:pPr>
          </w:p>
        </w:tc>
        <w:tc>
          <w:tcPr>
            <w:tcW w:w="103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18 U.S.C. §1350, as adopted pursuant to Section 906 of the Sarbanes-Oxley Act of</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2002 (furnished herewith).</w:t>
            </w:r>
          </w:p>
        </w:tc>
      </w:tr>
      <w:tr>
        <w:trPr>
          <w:trHeight w:val="175"/>
        </w:trPr>
        <w:tc>
          <w:tcPr>
            <w:tcW w:w="4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13.</w:t>
            </w:r>
            <w:r>
              <w:rPr>
                <w:rFonts w:ascii="Times New Roman" w:cs="Times New Roman" w:eastAsia="Times New Roman" w:hAnsi="Times New Roman"/>
                <w:sz w:val="18"/>
                <w:szCs w:val="18"/>
                <w:u w:val="single" w:color="auto"/>
                <w:color w:val="0000EE"/>
              </w:rPr>
              <w:t>2</w:t>
            </w:r>
          </w:p>
        </w:tc>
        <w:tc>
          <w:tcPr>
            <w:tcW w:w="500" w:type="dxa"/>
            <w:vAlign w:val="bottom"/>
          </w:tcPr>
          <w:p>
            <w:pPr>
              <w:spacing w:after="0"/>
              <w:rPr>
                <w:sz w:val="15"/>
                <w:szCs w:val="15"/>
                <w:color w:val="auto"/>
              </w:rPr>
            </w:pPr>
          </w:p>
        </w:tc>
        <w:tc>
          <w:tcPr>
            <w:tcW w:w="103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18 U.S.C. §1350, as adopted pursuant to Section 906 of the Sarbanes-Oxley Act of</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2002 (furnished herewith).</w:t>
            </w:r>
          </w:p>
        </w:tc>
      </w:tr>
      <w:tr>
        <w:trPr>
          <w:trHeight w:val="176"/>
        </w:trPr>
        <w:tc>
          <w:tcPr>
            <w:tcW w:w="4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15.</w:t>
            </w:r>
            <w:r>
              <w:rPr>
                <w:rFonts w:ascii="Times New Roman" w:cs="Times New Roman" w:eastAsia="Times New Roman" w:hAnsi="Times New Roman"/>
                <w:sz w:val="18"/>
                <w:szCs w:val="18"/>
                <w:u w:val="single" w:color="auto"/>
                <w:color w:val="0000EE"/>
              </w:rPr>
              <w:t>1</w:t>
            </w:r>
          </w:p>
        </w:tc>
        <w:tc>
          <w:tcPr>
            <w:tcW w:w="500" w:type="dxa"/>
            <w:vAlign w:val="bottom"/>
            <w:shd w:val="clear" w:color="auto" w:fill="CCEEFF"/>
          </w:tcPr>
          <w:p>
            <w:pPr>
              <w:spacing w:after="0"/>
              <w:rPr>
                <w:sz w:val="15"/>
                <w:szCs w:val="15"/>
                <w:color w:val="auto"/>
              </w:rPr>
            </w:pPr>
          </w:p>
        </w:tc>
        <w:tc>
          <w:tcPr>
            <w:tcW w:w="103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Consent of PricewaterhouseCoopers, independent registered public accounting firm (filed herewith).</w:t>
            </w:r>
          </w:p>
        </w:tc>
      </w:tr>
      <w:tr>
        <w:trPr>
          <w:trHeight w:val="20"/>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3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18.</w:t>
            </w:r>
            <w:r>
              <w:rPr>
                <w:rFonts w:ascii="Times New Roman" w:cs="Times New Roman" w:eastAsia="Times New Roman" w:hAnsi="Times New Roman"/>
                <w:sz w:val="18"/>
                <w:szCs w:val="18"/>
                <w:u w:val="single" w:color="auto"/>
                <w:color w:val="0000EE"/>
              </w:rPr>
              <w:t>1</w:t>
            </w:r>
          </w:p>
        </w:tc>
        <w:tc>
          <w:tcPr>
            <w:tcW w:w="500" w:type="dxa"/>
            <w:vAlign w:val="bottom"/>
          </w:tcPr>
          <w:p>
            <w:pPr>
              <w:spacing w:after="0"/>
              <w:rPr>
                <w:sz w:val="15"/>
                <w:szCs w:val="15"/>
                <w:color w:val="auto"/>
              </w:rPr>
            </w:pPr>
          </w:p>
        </w:tc>
        <w:tc>
          <w:tcPr>
            <w:tcW w:w="103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Clawback / Dodd-Frank Compensation Recovery Policy (included as an Annexure to Exhibit 4.8 herein).</w:t>
            </w:r>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r>
      <w:tr>
        <w:trPr>
          <w:trHeight w:val="216"/>
        </w:trPr>
        <w:tc>
          <w:tcPr>
            <w:tcW w:w="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340" w:hanging="332"/>
        <w:spacing w:after="0"/>
        <w:tabs>
          <w:tab w:leader="none" w:pos="3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7" w:lineRule="exact"/>
        <w:rPr>
          <w:sz w:val="20"/>
          <w:szCs w:val="20"/>
          <w:color w:val="auto"/>
        </w:rPr>
      </w:pPr>
    </w:p>
    <w:p>
      <w:pPr>
        <w:ind w:left="300" w:hanging="292"/>
        <w:spacing w:after="0"/>
        <w:tabs>
          <w:tab w:leader="none" w:pos="3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TELIX PHARMACEUTICALS LIMITED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Christian Behrenbruch</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Dr. Christian Behrenbruch</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Group Chief Executive Officer and Managing 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as of December 31, 2024 and 2023 and for the years ended December 31, 2024, 2023 and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2"/>
        </w:trPr>
        <w:tc>
          <w:tcPr>
            <w:tcW w:w="10580" w:type="dxa"/>
            <w:vAlign w:val="bottom"/>
            <w:tcBorders>
              <w:top w:val="single" w:sz="8" w:color="CCEEFF"/>
            </w:tcBorders>
            <w:gridSpan w:val="6"/>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66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tcBorders>
              <w:right w:val="single" w:sz="8" w:color="CCEEFF"/>
            </w:tcBorders>
            <w:shd w:val="clear" w:color="auto" w:fill="0000EE"/>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5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(PricewaterhouseCoopers, Melbourne, Australia, Auditor Firm PCAOB ID 1379)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05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 of Comprehensive Income or Loss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 of Financial Position</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 of Changes in Equity</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 of Cash Flows</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91"/>
        </w:trPr>
        <w:tc>
          <w:tcPr>
            <w:tcW w:w="28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632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F-1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Telix Pharmaceuticals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 of financial position of Telix Pharmaceuticals Limited and its subsidiaries (the “Company”) as of December 31, 2024 and 2023, and the related consolidated statements of comprehensive income or loss, changes in equity and cash flows for each of the three years in the period ended December 31, 2024,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International Financial Reporting Standards as issued by the International Accounting Standards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Melbourne, 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 or loss for the year ended December 31, 2024</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4920" w:type="dxa"/>
            <w:vAlign w:val="bottom"/>
            <w:tcBorders>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2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783,207</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502,547</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160,096</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(273,529)</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(188,157)</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80" w:type="dxa"/>
            <w:vAlign w:val="bottom"/>
            <w:tcBorders>
              <w:bottom w:val="single" w:sz="8" w:color="auto"/>
              <w:right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509,678</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314,390</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94,926</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(194,637)</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(128,537)</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(80,687)</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80" w:type="dxa"/>
            <w:vAlign w:val="bottom"/>
            <w:tcBorders>
              <w:bottom w:val="single" w:sz="8" w:color="auto"/>
              <w:right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(85,473)</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(50,109)</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(36,313)</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Manufacturing and distribution costs</w:t>
            </w:r>
          </w:p>
        </w:tc>
        <w:tc>
          <w:tcPr>
            <w:tcW w:w="12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(25,731)</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(9,869)</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administration costs</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(129,830)</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(74,181)</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(47,156)</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gains/(losses) (net)</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(35,854)</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(18,751)</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1280" w:type="dxa"/>
            <w:vAlign w:val="bottom"/>
            <w:tcBorders>
              <w:bottom w:val="single" w:sz="8" w:color="auto"/>
              <w:right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82,130</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15,840</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(91,930)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2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(36,936)</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Profit/(loss) before income tax</w:t>
            </w:r>
          </w:p>
        </w:tc>
        <w:tc>
          <w:tcPr>
            <w:tcW w:w="12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56,056</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3,087</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(98,622)</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Profit/(loss) for the year</w:t>
            </w:r>
          </w:p>
        </w:tc>
        <w:tc>
          <w:tcPr>
            <w:tcW w:w="12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49,919</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5,211</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(104,079)</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Profit/(loss) for the year attributable to:</w:t>
            </w:r>
          </w:p>
        </w:tc>
        <w:tc>
          <w:tcPr>
            <w:tcW w:w="1280" w:type="dxa"/>
            <w:vAlign w:val="bottom"/>
            <w:tcBorders>
              <w:bottom w:val="single" w:sz="8" w:color="auto"/>
              <w:right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Owners of Telix Pharmaceuticals Limited</w:t>
            </w:r>
          </w:p>
        </w:tc>
        <w:tc>
          <w:tcPr>
            <w:tcW w:w="12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49,919</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(104,079)</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280" w:type="dxa"/>
            <w:vAlign w:val="bottom"/>
            <w:tcBorders>
              <w:bottom w:val="single" w:sz="8" w:color="auto"/>
              <w:right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Items that will not be reclassified to profit or loss in subsequent periods:</w:t>
            </w:r>
          </w:p>
        </w:tc>
        <w:tc>
          <w:tcPr>
            <w:tcW w:w="12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940" w:type="dxa"/>
            <w:vAlign w:val="bottom"/>
            <w:tcBorders>
              <w:right w:val="single" w:sz="8" w:color="auto"/>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the fair value of investments at fair value through other</w:t>
            </w:r>
          </w:p>
        </w:tc>
        <w:tc>
          <w:tcPr>
            <w:tcW w:w="12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940" w:type="dxa"/>
            <w:vAlign w:val="bottom"/>
            <w:tcBorders>
              <w:bottom w:val="single" w:sz="8" w:color="auto"/>
              <w:right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000000"/>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000000"/>
          </w:tcPr>
          <w:p>
            <w:pPr>
              <w:spacing w:after="0"/>
              <w:rPr>
                <w:sz w:val="20"/>
                <w:szCs w:val="20"/>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Items to be reclassified to profit or loss in subsequent periods:</w:t>
            </w:r>
          </w:p>
        </w:tc>
        <w:tc>
          <w:tcPr>
            <w:tcW w:w="12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1280" w:type="dxa"/>
            <w:vAlign w:val="bottom"/>
            <w:tcBorders>
              <w:bottom w:val="single" w:sz="8" w:color="auto"/>
              <w:right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47,684</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income/(loss) for the year</w:t>
            </w:r>
          </w:p>
        </w:tc>
        <w:tc>
          <w:tcPr>
            <w:tcW w:w="12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92,617</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(103,488)</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income/(loss) for the year attributable to:</w:t>
            </w:r>
          </w:p>
        </w:tc>
        <w:tc>
          <w:tcPr>
            <w:tcW w:w="1280" w:type="dxa"/>
            <w:vAlign w:val="bottom"/>
            <w:tcBorders>
              <w:bottom w:val="single" w:sz="8" w:color="auto"/>
              <w:right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Owners of Telix Pharmaceuticals Limited</w:t>
            </w:r>
          </w:p>
        </w:tc>
        <w:tc>
          <w:tcPr>
            <w:tcW w:w="12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92,617</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(103,488)</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13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4920" w:type="dxa"/>
            <w:vAlign w:val="bottom"/>
            <w:tcBorders>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Cents</w:t>
            </w:r>
          </w:p>
        </w:tc>
        <w:tc>
          <w:tcPr>
            <w:tcW w:w="20" w:type="dxa"/>
            <w:vAlign w:val="bottom"/>
            <w:tcBorders>
              <w:bottom w:val="single" w:sz="8" w:color="auto"/>
            </w:tcBorders>
            <w:shd w:val="clear" w:color="auto" w:fill="000000"/>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Cents</w:t>
            </w:r>
          </w:p>
        </w:tc>
        <w:tc>
          <w:tcPr>
            <w:tcW w:w="20" w:type="dxa"/>
            <w:vAlign w:val="bottom"/>
            <w:tcBorders>
              <w:bottom w:val="single" w:sz="8" w:color="auto"/>
            </w:tcBorders>
            <w:shd w:val="clear" w:color="auto" w:fill="000000"/>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Cents</w:t>
            </w:r>
          </w:p>
        </w:tc>
        <w:tc>
          <w:tcPr>
            <w:tcW w:w="0" w:type="dxa"/>
            <w:vAlign w:val="bottom"/>
          </w:tcPr>
          <w:p>
            <w:pPr>
              <w:spacing w:after="0"/>
              <w:rPr>
                <w:sz w:val="1"/>
                <w:szCs w:val="1"/>
                <w:color w:val="auto"/>
              </w:rPr>
            </w:pPr>
          </w:p>
        </w:tc>
      </w:tr>
      <w:tr>
        <w:trPr>
          <w:trHeight w:val="198"/>
        </w:trPr>
        <w:tc>
          <w:tcPr>
            <w:tcW w:w="5940" w:type="dxa"/>
            <w:vAlign w:val="bottom"/>
            <w:tcBorders>
              <w:right w:val="single" w:sz="8" w:color="auto"/>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earnings/(loss) per share from continuing operations after income tax</w:t>
            </w:r>
          </w:p>
        </w:tc>
        <w:tc>
          <w:tcPr>
            <w:tcW w:w="12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940" w:type="dxa"/>
            <w:vAlign w:val="bottom"/>
            <w:tcBorders>
              <w:bottom w:val="single" w:sz="8" w:color="auto"/>
              <w:right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 the ordinary equity holders of the Company</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20" w:type="dxa"/>
            <w:vAlign w:val="bottom"/>
            <w:tcBorders>
              <w:bottom w:val="single" w:sz="8" w:color="auto"/>
            </w:tcBorders>
            <w:shd w:val="clear" w:color="auto" w:fill="000000"/>
          </w:tcPr>
          <w:p>
            <w:pPr>
              <w:spacing w:after="0"/>
              <w:rPr>
                <w:sz w:val="20"/>
                <w:szCs w:val="20"/>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Borders>
              <w:bottom w:val="single" w:sz="8" w:color="auto"/>
            </w:tcBorders>
            <w:shd w:val="clear" w:color="auto" w:fill="000000"/>
          </w:tcPr>
          <w:p>
            <w:pPr>
              <w:spacing w:after="0"/>
              <w:rPr>
                <w:sz w:val="20"/>
                <w:szCs w:val="20"/>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0" w:type="dxa"/>
            <w:vAlign w:val="bottom"/>
          </w:tcPr>
          <w:p>
            <w:pPr>
              <w:spacing w:after="0"/>
              <w:rPr>
                <w:sz w:val="1"/>
                <w:szCs w:val="1"/>
                <w:color w:val="auto"/>
              </w:rPr>
            </w:pPr>
          </w:p>
        </w:tc>
      </w:tr>
      <w:tr>
        <w:trPr>
          <w:trHeight w:val="198"/>
        </w:trPr>
        <w:tc>
          <w:tcPr>
            <w:tcW w:w="5940" w:type="dxa"/>
            <w:vAlign w:val="bottom"/>
            <w:tcBorders>
              <w:right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Diluted earnings/(loss) per share from continuing operations after income tax</w:t>
            </w:r>
          </w:p>
        </w:tc>
        <w:tc>
          <w:tcPr>
            <w:tcW w:w="12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94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attributable to the ordinary equity holders of the Company</w:t>
            </w:r>
          </w:p>
        </w:tc>
        <w:tc>
          <w:tcPr>
            <w:tcW w:w="12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0" w:type="dxa"/>
            <w:vAlign w:val="bottom"/>
            <w:tcBorders>
              <w:bottom w:val="single" w:sz="8" w:color="auto"/>
            </w:tcBorders>
            <w:shd w:val="clear" w:color="auto" w:fill="000000"/>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Borders>
              <w:bottom w:val="single" w:sz="8" w:color="auto"/>
            </w:tcBorders>
            <w:shd w:val="clear" w:color="auto" w:fill="000000"/>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consolidated statement of comprehensive income or loss should be read in conjunction with the accompanying notes.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 as at December 31, 2024</w:t>
            </w: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1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300" w:type="dxa"/>
            <w:vAlign w:val="bottom"/>
            <w:tcBorders>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63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710,346</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123,237</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139,445</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64,777</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38,144</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17,310</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Current tax asset</w:t>
            </w:r>
          </w:p>
        </w:tc>
        <w:tc>
          <w:tcPr>
            <w:tcW w:w="12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7,656</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19,524</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918,564</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232,504</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56,093</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12,260</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60" w:type="dxa"/>
            <w:vAlign w:val="bottom"/>
            <w:tcBorders>
              <w:bottom w:val="single" w:sz="8" w:color="auto"/>
              <w:right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17.1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46,737</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20,452</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44,949</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23,170</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7,323</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416,134</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109,663</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24,582</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597,867</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173,454</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1,516,431</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405,958</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139,927</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81,704</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Borrowings</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18,990</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payable</w:t>
            </w: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48,577</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19,164</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11,248</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10,995</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Provisions</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85,910</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37,153</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22,834</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13,912</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330,912</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165,064</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551,821</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8,209</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12,162</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7,677</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17.2</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9,381</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8,004</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30,406</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55,601</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617,306</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91,983</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948,218</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257,047</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2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568,213</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148,911</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29.1</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596,776</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446,268</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 reserve</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29.2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25,745</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(62,829)</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29.3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158,654</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29,137</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(212,962)</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(263,665)</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568,213</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148,911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consolidated statement of financial position should be read in conjunction with the accompanying notes.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2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 for the year ended December 31, 2024</w:t>
            </w: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0" w:type="dxa"/>
            <w:vAlign w:val="bottom"/>
          </w:tcPr>
          <w:p>
            <w:pPr>
              <w:spacing w:after="0"/>
              <w:rPr>
                <w:sz w:val="18"/>
                <w:szCs w:val="18"/>
                <w:color w:val="auto"/>
              </w:rPr>
            </w:pPr>
          </w:p>
        </w:tc>
        <w:tc>
          <w:tcPr>
            <w:tcW w:w="1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Other reserves</w:t>
            </w:r>
          </w:p>
        </w:tc>
        <w:tc>
          <w:tcPr>
            <w:tcW w:w="4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18"/>
                <w:szCs w:val="18"/>
                <w:color w:val="auto"/>
              </w:rPr>
            </w:pPr>
          </w:p>
        </w:tc>
        <w:tc>
          <w:tcPr>
            <w:tcW w:w="1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1280" w:type="dxa"/>
            <w:vAlign w:val="bottom"/>
            <w:vMerge w:val="continue"/>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020" w:type="dxa"/>
            <w:vAlign w:val="bottom"/>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13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 w:type="dxa"/>
            <w:vAlign w:val="bottom"/>
            <w:shd w:val="clear" w:color="auto" w:fill="000000"/>
          </w:tcPr>
          <w:p>
            <w:pPr>
              <w:spacing w:after="0"/>
              <w:rPr>
                <w:sz w:val="11"/>
                <w:szCs w:val="11"/>
                <w:color w:val="auto"/>
              </w:rPr>
            </w:pPr>
          </w:p>
        </w:tc>
        <w:tc>
          <w:tcPr>
            <w:tcW w:w="1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1280" w:type="dxa"/>
            <w:vAlign w:val="bottom"/>
            <w:vMerge w:val="continue"/>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40" w:type="dxa"/>
            <w:vAlign w:val="bottom"/>
            <w:shd w:val="clear" w:color="auto" w:fill="000000"/>
          </w:tcPr>
          <w:p>
            <w:pPr>
              <w:spacing w:after="0"/>
              <w:rPr>
                <w:sz w:val="11"/>
                <w:szCs w:val="11"/>
                <w:color w:val="auto"/>
              </w:rPr>
            </w:pPr>
          </w:p>
        </w:tc>
        <w:tc>
          <w:tcPr>
            <w:tcW w:w="1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shd w:val="clear" w:color="auto" w:fill="000000"/>
          </w:tcPr>
          <w:p>
            <w:pPr>
              <w:spacing w:after="0"/>
              <w:rPr>
                <w:sz w:val="10"/>
                <w:szCs w:val="10"/>
                <w:color w:val="auto"/>
              </w:rPr>
            </w:pPr>
          </w:p>
        </w:tc>
        <w:tc>
          <w:tcPr>
            <w:tcW w:w="134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380" w:type="dxa"/>
            <w:vAlign w:val="bottom"/>
            <w:tcBorders>
              <w:bottom w:val="single" w:sz="8" w:color="auto"/>
            </w:tcBorders>
            <w:vMerge w:val="continue"/>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shd w:val="clear" w:color="auto" w:fill="000000"/>
          </w:tcPr>
          <w:p>
            <w:pPr>
              <w:spacing w:after="0"/>
              <w:rPr>
                <w:sz w:val="10"/>
                <w:szCs w:val="10"/>
                <w:color w:val="auto"/>
              </w:rPr>
            </w:pPr>
          </w:p>
        </w:tc>
        <w:tc>
          <w:tcPr>
            <w:tcW w:w="1280" w:type="dxa"/>
            <w:vAlign w:val="bottom"/>
            <w:tcBorders>
              <w:bottom w:val="single" w:sz="8" w:color="auto"/>
            </w:tcBorders>
            <w:vMerge w:val="continue"/>
          </w:tcPr>
          <w:p>
            <w:pPr>
              <w:spacing w:after="0"/>
              <w:rPr>
                <w:sz w:val="10"/>
                <w:szCs w:val="10"/>
                <w:color w:val="auto"/>
              </w:rPr>
            </w:pPr>
          </w:p>
        </w:tc>
        <w:tc>
          <w:tcPr>
            <w:tcW w:w="40" w:type="dxa"/>
            <w:vAlign w:val="bottom"/>
            <w:tcBorders>
              <w:bottom w:val="single" w:sz="8" w:color="auto"/>
            </w:tcBorders>
            <w:shd w:val="clear" w:color="auto" w:fill="000000"/>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Note</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at January 1, 2024</w:t>
            </w:r>
          </w:p>
        </w:tc>
        <w:tc>
          <w:tcPr>
            <w:tcW w:w="1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446,268</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(62,829)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29,137</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(263,665)</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148,911</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1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49,919</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49,919</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42,698</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42,698</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42,698</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49,919</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92,617</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 of shares on acquisitions</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29.1</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142,428</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142,428</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Issue of shares on exercise of options</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29.1, 29.2</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8,080</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 of convertible bonds</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29.2</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97,900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97,900</w:t>
            </w:r>
          </w:p>
        </w:tc>
        <w:tc>
          <w:tcPr>
            <w:tcW w:w="0" w:type="dxa"/>
            <w:vAlign w:val="bottom"/>
          </w:tcPr>
          <w:p>
            <w:pPr>
              <w:spacing w:after="0"/>
              <w:rPr>
                <w:sz w:val="1"/>
                <w:szCs w:val="1"/>
                <w:color w:val="auto"/>
              </w:rPr>
            </w:pPr>
          </w:p>
        </w:tc>
      </w:tr>
      <w:tr>
        <w:trPr>
          <w:trHeight w:val="198"/>
        </w:trPr>
        <w:tc>
          <w:tcPr>
            <w:tcW w:w="3280" w:type="dxa"/>
            <w:vAlign w:val="bottom"/>
            <w:tcBorders>
              <w:right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Transaction costs arising on convertible</w:t>
            </w:r>
          </w:p>
        </w:tc>
        <w:tc>
          <w:tcPr>
            <w:tcW w:w="122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bonds issue</w:t>
            </w:r>
          </w:p>
        </w:tc>
        <w:tc>
          <w:tcPr>
            <w:tcW w:w="1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shd w:val="clear" w:color="auto" w:fill="000000"/>
          </w:tcPr>
          <w:p>
            <w:pPr>
              <w:spacing w:after="0"/>
              <w:rPr>
                <w:sz w:val="20"/>
                <w:szCs w:val="20"/>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29.3</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19,660</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19,660</w:t>
            </w:r>
          </w:p>
        </w:tc>
        <w:tc>
          <w:tcPr>
            <w:tcW w:w="0" w:type="dxa"/>
            <w:vAlign w:val="bottom"/>
          </w:tcPr>
          <w:p>
            <w:pPr>
              <w:spacing w:after="0"/>
              <w:rPr>
                <w:sz w:val="1"/>
                <w:szCs w:val="1"/>
                <w:color w:val="auto"/>
              </w:rPr>
            </w:pPr>
          </w:p>
        </w:tc>
      </w:tr>
      <w:tr>
        <w:trPr>
          <w:trHeight w:val="198"/>
        </w:trPr>
        <w:tc>
          <w:tcPr>
            <w:tcW w:w="3280" w:type="dxa"/>
            <w:vAlign w:val="bottom"/>
            <w:tcBorders>
              <w:right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 payments associated with</w:t>
            </w:r>
          </w:p>
        </w:tc>
        <w:tc>
          <w:tcPr>
            <w:tcW w:w="122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29.3</w:t>
            </w:r>
          </w:p>
        </w:tc>
        <w:tc>
          <w:tcPr>
            <w:tcW w:w="40" w:type="dxa"/>
            <w:vAlign w:val="bottom"/>
            <w:tcBorders>
              <w:bottom w:val="single" w:sz="8" w:color="auto"/>
            </w:tcBorders>
            <w:shd w:val="clear" w:color="auto" w:fill="000000"/>
          </w:tcPr>
          <w:p>
            <w:pPr>
              <w:spacing w:after="0"/>
              <w:rPr>
                <w:sz w:val="20"/>
                <w:szCs w:val="20"/>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67,943</w:t>
            </w:r>
          </w:p>
        </w:tc>
        <w:tc>
          <w:tcPr>
            <w:tcW w:w="40" w:type="dxa"/>
            <w:vAlign w:val="bottom"/>
            <w:tcBorders>
              <w:bottom w:val="single" w:sz="8" w:color="auto"/>
            </w:tcBorders>
            <w:shd w:val="clear" w:color="auto" w:fill="000000"/>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67,943</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on exercise of options</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29.3</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150,508</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88,574</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86,819</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326,685</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at December 31, 2024</w:t>
            </w:r>
          </w:p>
        </w:tc>
        <w:tc>
          <w:tcPr>
            <w:tcW w:w="1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596,776</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25,745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158,654</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(212,962)</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568,213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Note</w:t>
            </w: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at January 1, 2023</w:t>
            </w:r>
          </w:p>
        </w:tc>
        <w:tc>
          <w:tcPr>
            <w:tcW w:w="1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370,972</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(26,909)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8,759</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(272,815)</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80,007</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1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5,211</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(5,747)</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5,211</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 of shares on acquisitions</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29.1</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32,724</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32,724</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Issue of shares on exercise of options</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29.1, 29.2</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42,572</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(35,920)</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6,652</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29.3</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8,786</w:t>
            </w:r>
          </w:p>
        </w:tc>
        <w:tc>
          <w:tcPr>
            <w:tcW w:w="0" w:type="dxa"/>
            <w:vAlign w:val="bottom"/>
          </w:tcPr>
          <w:p>
            <w:pPr>
              <w:spacing w:after="0"/>
              <w:rPr>
                <w:sz w:val="1"/>
                <w:szCs w:val="1"/>
                <w:color w:val="auto"/>
              </w:rPr>
            </w:pPr>
          </w:p>
        </w:tc>
      </w:tr>
      <w:tr>
        <w:trPr>
          <w:trHeight w:val="198"/>
        </w:trPr>
        <w:tc>
          <w:tcPr>
            <w:tcW w:w="3280" w:type="dxa"/>
            <w:vAlign w:val="bottom"/>
            <w:tcBorders>
              <w:right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 payments associated with</w:t>
            </w:r>
          </w:p>
        </w:tc>
        <w:tc>
          <w:tcPr>
            <w:tcW w:w="122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29.3</w:t>
            </w:r>
          </w:p>
        </w:tc>
        <w:tc>
          <w:tcPr>
            <w:tcW w:w="40" w:type="dxa"/>
            <w:vAlign w:val="bottom"/>
            <w:tcBorders>
              <w:bottom w:val="single" w:sz="8" w:color="auto"/>
            </w:tcBorders>
            <w:shd w:val="clear" w:color="auto" w:fill="000000"/>
          </w:tcPr>
          <w:p>
            <w:pPr>
              <w:spacing w:after="0"/>
              <w:rPr>
                <w:sz w:val="20"/>
                <w:szCs w:val="20"/>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21,278</w:t>
            </w:r>
          </w:p>
        </w:tc>
        <w:tc>
          <w:tcPr>
            <w:tcW w:w="40" w:type="dxa"/>
            <w:vAlign w:val="bottom"/>
            <w:tcBorders>
              <w:bottom w:val="single" w:sz="8" w:color="auto"/>
            </w:tcBorders>
            <w:shd w:val="clear" w:color="auto" w:fill="000000"/>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21,278</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on exercise of options</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29.3</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75,296</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(35,920)</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26,125</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3,939</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69,440</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at December 31, 2023</w:t>
            </w:r>
          </w:p>
        </w:tc>
        <w:tc>
          <w:tcPr>
            <w:tcW w:w="1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446,268</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(62,829)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29,137</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(263,665)</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148,911</w:t>
            </w:r>
          </w:p>
        </w:tc>
        <w:tc>
          <w:tcPr>
            <w:tcW w:w="0" w:type="dxa"/>
            <w:vAlign w:val="bottom"/>
          </w:tcPr>
          <w:p>
            <w:pPr>
              <w:spacing w:after="0"/>
              <w:rPr>
                <w:sz w:val="1"/>
                <w:szCs w:val="1"/>
                <w:color w:val="auto"/>
              </w:rPr>
            </w:pPr>
          </w:p>
        </w:tc>
      </w:tr>
      <w:tr>
        <w:trPr>
          <w:trHeight w:val="570"/>
        </w:trPr>
        <w:tc>
          <w:tcPr>
            <w:tcW w:w="1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F-5</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Note</w:t>
            </w:r>
          </w:p>
        </w:tc>
        <w:tc>
          <w:tcPr>
            <w:tcW w:w="1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at January 1, 2022</w:t>
            </w: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170,840</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4,789</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(173,471)</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2,158</w:t>
            </w: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40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(104,079)</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(104,079)</w:t>
            </w: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591</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w:t>
            </w: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income/(loss)</w:t>
            </w:r>
          </w:p>
        </w:tc>
        <w:tc>
          <w:tcPr>
            <w:tcW w:w="140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591</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(104,079)</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(103,488)</w:t>
            </w: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 of shares</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29.1</w:t>
            </w:r>
          </w:p>
        </w:tc>
        <w:tc>
          <w:tcPr>
            <w:tcW w:w="138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175,000</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175,000</w:t>
            </w:r>
          </w:p>
        </w:tc>
      </w:tr>
      <w:tr>
        <w:trPr>
          <w:trHeight w:val="198"/>
        </w:trPr>
        <w:tc>
          <w:tcPr>
            <w:tcW w:w="316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Transaction costs arising on new share</w:t>
            </w:r>
          </w:p>
        </w:tc>
        <w:tc>
          <w:tcPr>
            <w:tcW w:w="14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r>
      <w:tr>
        <w:trPr>
          <w:trHeight w:val="241"/>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issues</w:t>
            </w:r>
          </w:p>
        </w:tc>
        <w:tc>
          <w:tcPr>
            <w:tcW w:w="14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(7,816)</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(7,816)</w:t>
            </w: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 of shares on exercise of options</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29.1, 29.2</w:t>
            </w:r>
          </w:p>
        </w:tc>
        <w:tc>
          <w:tcPr>
            <w:tcW w:w="138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32,948</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(26,909)</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6,039</w:t>
            </w: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29.3</w:t>
            </w: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8,114</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8,114</w:t>
            </w:r>
          </w:p>
        </w:tc>
      </w:tr>
      <w:tr>
        <w:trPr>
          <w:trHeight w:val="198"/>
        </w:trPr>
        <w:tc>
          <w:tcPr>
            <w:tcW w:w="316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 payments associated with</w:t>
            </w:r>
          </w:p>
        </w:tc>
        <w:tc>
          <w:tcPr>
            <w:tcW w:w="1400" w:type="dxa"/>
            <w:vAlign w:val="bottom"/>
            <w:tcBorders>
              <w:right w:val="single" w:sz="8" w:color="auto"/>
            </w:tcBorders>
            <w:shd w:val="clear" w:color="auto" w:fill="CCEEFF"/>
          </w:tcPr>
          <w:p>
            <w:pPr>
              <w:spacing w:after="0"/>
              <w:rPr>
                <w:sz w:val="17"/>
                <w:szCs w:val="17"/>
                <w:color w:val="auto"/>
              </w:rPr>
            </w:pPr>
          </w:p>
        </w:tc>
        <w:tc>
          <w:tcPr>
            <w:tcW w:w="1380" w:type="dxa"/>
            <w:vAlign w:val="bottom"/>
            <w:tcBorders>
              <w:right w:val="single" w:sz="8" w:color="auto"/>
            </w:tcBorders>
            <w:shd w:val="clear" w:color="auto" w:fill="CCEEFF"/>
          </w:tcPr>
          <w:p>
            <w:pPr>
              <w:spacing w:after="0"/>
              <w:rPr>
                <w:sz w:val="17"/>
                <w:szCs w:val="17"/>
                <w:color w:val="auto"/>
              </w:rPr>
            </w:pPr>
          </w:p>
        </w:tc>
        <w:tc>
          <w:tcPr>
            <w:tcW w:w="136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41"/>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29.3</w:t>
            </w:r>
          </w:p>
        </w:tc>
        <w:tc>
          <w:tcPr>
            <w:tcW w:w="138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Transfer on exercise of options</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29.3</w:t>
            </w: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4,735</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60" w:type="dxa"/>
            <w:vAlign w:val="bottom"/>
            <w:tcBorders>
              <w:bottom w:val="single" w:sz="8" w:color="auto"/>
              <w:right w:val="single" w:sz="8" w:color="auto"/>
            </w:tcBorders>
            <w:shd w:val="clear" w:color="auto" w:fill="CCEEFF"/>
          </w:tcPr>
          <w:p>
            <w:pPr>
              <w:spacing w:after="0"/>
              <w:rPr>
                <w:sz w:val="19"/>
                <w:szCs w:val="19"/>
                <w:color w:val="auto"/>
              </w:rPr>
            </w:pP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200,132</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(26,909)</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3,379</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4,735</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181,337</w:t>
            </w: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at December 31, 2022</w:t>
            </w:r>
          </w:p>
        </w:tc>
        <w:tc>
          <w:tcPr>
            <w:tcW w:w="140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370,972</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(26,909)</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8,759</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(272,815)</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80,007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consolidated statement of changes of equity should be read in conjunction with the accompanying notes.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8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 for the year ended December 31, 2024</w:t>
            </w: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4840" w:type="dxa"/>
            <w:vAlign w:val="bottom"/>
            <w:tcBorders>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484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Receipts from customers</w:t>
            </w:r>
          </w:p>
        </w:tc>
        <w:tc>
          <w:tcPr>
            <w:tcW w:w="138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718,135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463,654</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124,095</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Receipts in relation to R&amp;D tax incentive</w:t>
            </w:r>
          </w:p>
        </w:tc>
        <w:tc>
          <w:tcPr>
            <w:tcW w:w="13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18,909</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to suppliers and employees</w:t>
            </w:r>
          </w:p>
        </w:tc>
        <w:tc>
          <w:tcPr>
            <w:tcW w:w="138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(642,537)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(414,079)</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(204,289)</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Payments for contingent consideration</w:t>
            </w:r>
          </w:p>
        </w:tc>
        <w:tc>
          <w:tcPr>
            <w:tcW w:w="13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(35,886)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(16,282)</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38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(2,809)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(10,253)</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3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10,856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1,629</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38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(4,730)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(785)</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from/(used in) operating activities</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31.1</w:t>
            </w: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43,029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23,884</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(63,970)</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8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Payments for investments in financial assets</w:t>
            </w:r>
          </w:p>
        </w:tc>
        <w:tc>
          <w:tcPr>
            <w:tcW w:w="13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(51,988)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(13,155)</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acquisition of subsidiaries, net of cash acquired</w:t>
            </w:r>
          </w:p>
        </w:tc>
        <w:tc>
          <w:tcPr>
            <w:tcW w:w="138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(30,890)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13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(19,710)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(1,115)</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other non-current assets</w:t>
            </w:r>
          </w:p>
        </w:tc>
        <w:tc>
          <w:tcPr>
            <w:tcW w:w="138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(14,459)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3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(14,322)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(9,679)</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contingent consideration</w:t>
            </w:r>
          </w:p>
        </w:tc>
        <w:tc>
          <w:tcPr>
            <w:tcW w:w="138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(3,804)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(1,484)</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Payments for decommissioning liability</w:t>
            </w:r>
          </w:p>
        </w:tc>
        <w:tc>
          <w:tcPr>
            <w:tcW w:w="13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38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(135,173)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(25,489)</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(16,997)</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borrowings</w:t>
            </w:r>
          </w:p>
        </w:tc>
        <w:tc>
          <w:tcPr>
            <w:tcW w:w="138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655,938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5,756</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Repayment of borrowings</w:t>
            </w:r>
          </w:p>
        </w:tc>
        <w:tc>
          <w:tcPr>
            <w:tcW w:w="13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(1,115)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element of lease payments</w:t>
            </w:r>
          </w:p>
        </w:tc>
        <w:tc>
          <w:tcPr>
            <w:tcW w:w="138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(2,222)</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Proceeds from issue of shares and other equity</w:t>
            </w:r>
          </w:p>
        </w:tc>
        <w:tc>
          <w:tcPr>
            <w:tcW w:w="13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999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6,652</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181,039</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of borrowings or capital raising</w:t>
            </w:r>
          </w:p>
        </w:tc>
        <w:tc>
          <w:tcPr>
            <w:tcW w:w="138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(14,884)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3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638,923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10,186</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174,960</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held</w:t>
            </w:r>
          </w:p>
        </w:tc>
        <w:tc>
          <w:tcPr>
            <w:tcW w:w="138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546,779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8,581</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93,993</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foreign exchange differences</w:t>
            </w:r>
          </w:p>
        </w:tc>
        <w:tc>
          <w:tcPr>
            <w:tcW w:w="13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40,330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(1,673)</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financial year</w:t>
            </w:r>
          </w:p>
        </w:tc>
        <w:tc>
          <w:tcPr>
            <w:tcW w:w="138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123,237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116,329</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22,037</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financial year</w:t>
            </w:r>
          </w:p>
        </w:tc>
        <w:tc>
          <w:tcPr>
            <w:tcW w:w="13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710,346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123,237</w:t>
            </w: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116,329</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consolidated statement of cash flows should be read in conjunction with the accompanying notes.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ind w:left="380" w:hanging="372"/>
        <w:spacing w:after="0"/>
        <w:tabs>
          <w:tab w:leader="none" w:pos="3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Telix Pharmaceuticals Limited (Telix or the Company) is a for-profit company incorporated and domiciled in Australia. It is limited by shares that are publicly traded on the Australian Securities Exchange (ASX: TLX) and on the Nasdaq Exchange (Nasdaq: TLX) . These consolidated financial statements comprise the results of Telix and its subsidiaries (together referred to as the Group). The consolidated financial statements were authorized for issue in accordance with a resolution of the Directors on February 24, 2025.</w:t>
      </w:r>
    </w:p>
    <w:p>
      <w:pPr>
        <w:spacing w:after="0" w:line="176" w:lineRule="exact"/>
        <w:rPr>
          <w:sz w:val="20"/>
          <w:szCs w:val="20"/>
          <w:color w:val="auto"/>
        </w:rPr>
      </w:pPr>
    </w:p>
    <w:p>
      <w:pPr>
        <w:ind w:left="380" w:hanging="372"/>
        <w:spacing w:after="0"/>
        <w:tabs>
          <w:tab w:leader="none" w:pos="3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accounting policy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accounting policies that have been used in the preparation of these financial statements are summarized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Going concern</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Directors are satisfied that the Group continues to be a going concern as at the date of these financial statements. Further, the Directors are of the opinion that no asset is likely to be realized for an amount less than the amount at which it is recorded in the consolidated statement of financial position as at December 31, 2024.</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such, no adjustment has been made to the financial statements relating to the recoverability and classification of the asset carrying amounts or the classification of liabilities that might be necessary should the Group not continue as a going concern.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Basis of preparation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Telix Pharmaceuticals Limited is a for-profit entity for the purpose of preparing the financial statements.</w:t>
      </w:r>
    </w:p>
    <w:p>
      <w:pPr>
        <w:spacing w:after="0" w:line="225"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These general purpose financial statements have been prepared in accordance with International Financial Reporting Standards as issued by the International Accounting Standards Board (IFRS Accounting Standards).</w:t>
      </w:r>
    </w:p>
    <w:p>
      <w:pPr>
        <w:spacing w:after="0" w:line="3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have been prepared on a historical cost basis, except for certain financial instruments, which have been measured at fair value.</w:t>
      </w:r>
    </w:p>
    <w:p>
      <w:pPr>
        <w:spacing w:after="0" w:line="223" w:lineRule="exact"/>
        <w:rPr>
          <w:sz w:val="20"/>
          <w:szCs w:val="20"/>
          <w:color w:val="auto"/>
        </w:rPr>
      </w:pPr>
    </w:p>
    <w:p>
      <w:pPr>
        <w:ind w:left="380" w:hanging="372"/>
        <w:spacing w:after="0"/>
        <w:tabs>
          <w:tab w:leader="none" w:pos="380" w:val="left"/>
        </w:tabs>
        <w:numPr>
          <w:ilvl w:val="0"/>
          <w:numId w:val="172"/>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Comparatives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 necessary, comparative information has been re- classified to achieve consistency in disclosure with current financial amounts and other disclosures.</w:t>
      </w:r>
    </w:p>
    <w:p>
      <w:pPr>
        <w:spacing w:after="0" w:line="235" w:lineRule="exact"/>
        <w:rPr>
          <w:sz w:val="20"/>
          <w:szCs w:val="20"/>
          <w:color w:val="auto"/>
        </w:rPr>
      </w:pPr>
    </w:p>
    <w:p>
      <w:pPr>
        <w:ind w:left="380" w:hanging="372"/>
        <w:spacing w:after="0"/>
        <w:tabs>
          <w:tab w:leader="none" w:pos="380" w:val="left"/>
        </w:tabs>
        <w:numPr>
          <w:ilvl w:val="0"/>
          <w:numId w:val="173"/>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New and amended standards adopted by the Group</w:t>
      </w:r>
    </w:p>
    <w:p>
      <w:pPr>
        <w:spacing w:after="0" w:line="2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Group has adopted all relevant new and amended standards and interpretations issued by the International Accounting Standards Board which are effective for annual reporting periods beginning on January 1, 2024.</w:t>
      </w:r>
    </w:p>
    <w:p>
      <w:pPr>
        <w:spacing w:after="0" w:line="160" w:lineRule="exact"/>
        <w:rPr>
          <w:sz w:val="20"/>
          <w:szCs w:val="20"/>
          <w:color w:val="auto"/>
        </w:rPr>
      </w:pPr>
    </w:p>
    <w:p>
      <w:pPr>
        <w:ind w:left="380" w:hanging="372"/>
        <w:spacing w:after="0"/>
        <w:tabs>
          <w:tab w:leader="none" w:pos="380" w:val="left"/>
        </w:tabs>
        <w:numPr>
          <w:ilvl w:val="0"/>
          <w:numId w:val="174"/>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New standards and interpretations not yet adopted</w:t>
      </w:r>
    </w:p>
    <w:p>
      <w:pPr>
        <w:spacing w:after="0" w:line="22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Certain new accounting standards and interpretations have been published that are not mandatory for December 31, 2024 reporting periods and have not been early adopted by the Group.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IFRS 18 Presentation and Disclosure in Financial Statements (effective for annual periods beginning on or after January 1, 2027)</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IFRS 18 will replace IAS 1 Presentation of financial statements, introducing new requirements that will help to achieve comparability of the financial performance of similar entities and provide more relevant information and transparency to users. Even though IFRS 18 will not impact the recognition or measurement of items in the financial statements, its impacts on presentation and disclosure are expected to be pervasive, in particular those related to the statement of comprehensive income or loss and providing management-defined performance measures within the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is currently assessing the detailed implications of applying the new standard on the Group’s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Significant changes in the current or prior reporting period</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From 2023, the Group has determined that a functional presentation of its consolidated statement of comprehensive income or loss is most appropriate. In accordance with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within a functional consolidated statement of comprehensive income or loss, costs directly associated with generating revenues are included in cost of sales.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Cost of sales includes direct material and labor costs, distribution fees incurred to ensure delivery of the product to the end customer and indirect costs that are directly attributed to generating revenue, such as amortization of intangible assets associated with commercialized products.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to the above, the Group has disclosed an additional line item of manufacturing and distribution costs on its consolidated statement of comprehensive income or loss. This line item represents departments and associated costs of the business that were previously included within selling and marketing expenses. These functions are ancillary in nature and indirectly support manufacturing, supply chain, logistics, facilities and quality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Principles of consolidation</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Subsidiaries are all entities (including structured entities) over which the Group has control. The Group controls an entity when the Group is exposed to, or has rights to, variable returns from its involvement with the entity and has the ability to affect those returns through its power to direct the activities of the entity. Subsidiaries are fully consolidated from the date on which control is transferred to the Group. If the Group loses control of a subsidiary, the Group derecognizes the assets and liabilities of the former subsidiary from the consolidated statement of financial position and recognizes the gain or loss associated with the loss of control attributable to the former controlling interest.</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Intercompany transactions, balances and unrealized gains on transactions between Group companies are eliminated on consolidation. Unrealized losses are also eliminated unless the transaction provides evidence of an impairment of the transferred asset. Accounting policies of subsidiaries have been changed where necessary to ensure consistency with the policies adopted by the Group.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Foreign currency translation</w:t>
      </w:r>
    </w:p>
    <w:p>
      <w:pPr>
        <w:spacing w:after="0" w:line="223" w:lineRule="exact"/>
        <w:rPr>
          <w:sz w:val="20"/>
          <w:szCs w:val="20"/>
          <w:color w:val="auto"/>
        </w:rPr>
      </w:pPr>
    </w:p>
    <w:p>
      <w:pPr>
        <w:ind w:left="380" w:hanging="372"/>
        <w:spacing w:after="0"/>
        <w:tabs>
          <w:tab w:leader="none" w:pos="380" w:val="left"/>
        </w:tabs>
        <w:numPr>
          <w:ilvl w:val="0"/>
          <w:numId w:val="175"/>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Functional and presentation currency</w:t>
      </w: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Items included in the financial statements of each of the Group’s entities are measured using the currency of the primary economic environment in which the entity operates (the functional currency). The consolidated financial statements are presented in Australian dollars.</w:t>
      </w:r>
    </w:p>
    <w:p>
      <w:pPr>
        <w:spacing w:after="0" w:line="160" w:lineRule="exact"/>
        <w:rPr>
          <w:sz w:val="20"/>
          <w:szCs w:val="20"/>
          <w:color w:val="auto"/>
        </w:rPr>
      </w:pPr>
    </w:p>
    <w:p>
      <w:pPr>
        <w:ind w:left="380" w:hanging="372"/>
        <w:spacing w:after="0"/>
        <w:tabs>
          <w:tab w:leader="none" w:pos="380" w:val="left"/>
        </w:tabs>
        <w:numPr>
          <w:ilvl w:val="0"/>
          <w:numId w:val="176"/>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Transactions and balances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Foreign currency transactions are translated into the functional currency using the exchange rates at the dates of the transactions. Foreign exchange gains and losses resulting from the settlement of such transactions and from the translation of monetary assets and liabilities denominated in foreign currencies at year end exchange rates are generally recognized in profit or loss. Foreign exchange gains and losses that relate to borrowings are presented in the consolidated statement of comprehensive income or loss, within finance costs. All other foreign exchange gains and losses are presented in the consolidated statement of comprehensive income or loss on a net basis within other income or other expenses.</w:t>
      </w:r>
    </w:p>
    <w:p>
      <w:pPr>
        <w:spacing w:after="0" w:line="18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Non-monetary items that are measured at fair value in a foreign currency are translated using the exchange rates at the date when the fair value was determined.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Translation differences on assets and liabilities carried at fair value are reported as part of the fair value gain or loss.</w:t>
      </w:r>
    </w:p>
    <w:p>
      <w:pPr>
        <w:spacing w:after="0" w:line="223" w:lineRule="exact"/>
        <w:rPr>
          <w:sz w:val="20"/>
          <w:szCs w:val="20"/>
          <w:color w:val="auto"/>
        </w:rPr>
      </w:pPr>
    </w:p>
    <w:p>
      <w:pPr>
        <w:ind w:left="380" w:hanging="372"/>
        <w:spacing w:after="0"/>
        <w:tabs>
          <w:tab w:leader="none" w:pos="380" w:val="left"/>
        </w:tabs>
        <w:numPr>
          <w:ilvl w:val="0"/>
          <w:numId w:val="177"/>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Group companies</w:t>
      </w:r>
    </w:p>
    <w:p>
      <w:pPr>
        <w:spacing w:after="0" w:line="22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results and financial position of foreign operations (none of which has the currency of a hyperinflationary economy) that have a functional currency different from the presentation currency are translated into the presentation currency as follows:</w:t>
      </w:r>
    </w:p>
    <w:p>
      <w:pPr>
        <w:spacing w:after="0" w:line="162" w:lineRule="exact"/>
        <w:rPr>
          <w:sz w:val="20"/>
          <w:szCs w:val="20"/>
          <w:color w:val="auto"/>
        </w:rPr>
      </w:pPr>
    </w:p>
    <w:p>
      <w:pPr>
        <w:ind w:left="380" w:right="300" w:hanging="372"/>
        <w:spacing w:after="0" w:line="261" w:lineRule="auto"/>
        <w:tabs>
          <w:tab w:leader="none" w:pos="380" w:val="left"/>
        </w:tabs>
        <w:numPr>
          <w:ilvl w:val="0"/>
          <w:numId w:val="17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assets and liabilities for each consolidated statement of financial position presented are translated at the closing rate at the date of that consolidated statement of financial position</w:t>
      </w:r>
    </w:p>
    <w:p>
      <w:pPr>
        <w:ind w:left="380" w:right="500" w:hanging="372"/>
        <w:spacing w:after="0" w:line="250" w:lineRule="auto"/>
        <w:tabs>
          <w:tab w:leader="none" w:pos="380" w:val="left"/>
        </w:tabs>
        <w:numPr>
          <w:ilvl w:val="0"/>
          <w:numId w:val="178"/>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income and expenses for each consolidated statement of comprehensive income or loss are translated at actual exchange rates at the dates of the transactions, and</w:t>
      </w:r>
    </w:p>
    <w:p>
      <w:pPr>
        <w:ind w:left="380" w:hanging="372"/>
        <w:spacing w:after="0"/>
        <w:tabs>
          <w:tab w:leader="none" w:pos="3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resulting exchange differences are recognized in other comprehensive income.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consolidation, exchange differences arising from the translation of any net investment in foreign entities, and of borrowings and other financial instruments designated as hedges of such investments, are recognized in other comprehensive income. When a foreign operation is sold or any borrowings forming part of the net investment are repaid, the associated exchange differences are reclassified to profit or loss, as part of the gain or loss on sale. Goodwill and fair value adjustments arising on the acquisition of a foreign operation are treated as assets and liabilities of the foreign operation and translated at the closing 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Business combinations</w:t>
      </w:r>
    </w:p>
    <w:p>
      <w:pPr>
        <w:spacing w:after="0" w:line="2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acquisition method of accounting is used to account for all business combinations, regardless of whether equity instruments or other assets are acquired. The consideration transferred for the acquisition of a subsidiary comprises the:</w:t>
      </w:r>
    </w:p>
    <w:p>
      <w:pPr>
        <w:spacing w:after="0" w:line="162" w:lineRule="exact"/>
        <w:rPr>
          <w:sz w:val="20"/>
          <w:szCs w:val="20"/>
          <w:color w:val="auto"/>
        </w:rPr>
      </w:pPr>
    </w:p>
    <w:p>
      <w:pPr>
        <w:ind w:left="380" w:hanging="372"/>
        <w:spacing w:after="0"/>
        <w:tabs>
          <w:tab w:leader="none" w:pos="380" w:val="left"/>
        </w:tabs>
        <w:numPr>
          <w:ilvl w:val="0"/>
          <w:numId w:val="17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fair values of the assets transferred</w:t>
      </w:r>
    </w:p>
    <w:p>
      <w:pPr>
        <w:spacing w:after="0" w:line="27" w:lineRule="exact"/>
        <w:rPr>
          <w:rFonts w:ascii="Times New Roman" w:cs="Times New Roman" w:eastAsia="Times New Roman" w:hAnsi="Times New Roman"/>
          <w:sz w:val="18"/>
          <w:szCs w:val="18"/>
          <w:color w:val="0A2E94"/>
        </w:rPr>
      </w:pPr>
    </w:p>
    <w:p>
      <w:pPr>
        <w:ind w:left="380" w:hanging="372"/>
        <w:spacing w:after="0"/>
        <w:tabs>
          <w:tab w:leader="none" w:pos="380" w:val="left"/>
        </w:tabs>
        <w:numPr>
          <w:ilvl w:val="0"/>
          <w:numId w:val="17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liabilities incurred to the former owners of the acquired business</w:t>
      </w:r>
    </w:p>
    <w:p>
      <w:pPr>
        <w:spacing w:after="0" w:line="9" w:lineRule="exact"/>
        <w:rPr>
          <w:rFonts w:ascii="Times New Roman" w:cs="Times New Roman" w:eastAsia="Times New Roman" w:hAnsi="Times New Roman"/>
          <w:sz w:val="18"/>
          <w:szCs w:val="18"/>
          <w:color w:val="0A2E94"/>
        </w:rPr>
      </w:pPr>
    </w:p>
    <w:p>
      <w:pPr>
        <w:ind w:left="380" w:hanging="372"/>
        <w:spacing w:after="0"/>
        <w:tabs>
          <w:tab w:leader="none" w:pos="380" w:val="left"/>
        </w:tabs>
        <w:numPr>
          <w:ilvl w:val="0"/>
          <w:numId w:val="17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equity interests issued by the Group</w:t>
      </w:r>
    </w:p>
    <w:p>
      <w:pPr>
        <w:spacing w:after="0" w:line="9" w:lineRule="exact"/>
        <w:rPr>
          <w:rFonts w:ascii="Times New Roman" w:cs="Times New Roman" w:eastAsia="Times New Roman" w:hAnsi="Times New Roman"/>
          <w:sz w:val="18"/>
          <w:szCs w:val="18"/>
          <w:color w:val="0A2E94"/>
        </w:rPr>
      </w:pPr>
    </w:p>
    <w:p>
      <w:pPr>
        <w:ind w:left="380" w:hanging="372"/>
        <w:spacing w:after="0"/>
        <w:tabs>
          <w:tab w:leader="none" w:pos="380" w:val="left"/>
        </w:tabs>
        <w:numPr>
          <w:ilvl w:val="0"/>
          <w:numId w:val="17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fair value of any asset or liability resulting from a contingent consideration arrangement, and</w:t>
      </w:r>
    </w:p>
    <w:p>
      <w:pPr>
        <w:spacing w:after="0" w:line="9" w:lineRule="exact"/>
        <w:rPr>
          <w:rFonts w:ascii="Times New Roman" w:cs="Times New Roman" w:eastAsia="Times New Roman" w:hAnsi="Times New Roman"/>
          <w:sz w:val="18"/>
          <w:szCs w:val="18"/>
          <w:color w:val="0A2E94"/>
        </w:rPr>
      </w:pPr>
    </w:p>
    <w:p>
      <w:pPr>
        <w:ind w:left="380" w:hanging="372"/>
        <w:spacing w:after="0"/>
        <w:tabs>
          <w:tab w:leader="none" w:pos="380" w:val="left"/>
        </w:tabs>
        <w:numPr>
          <w:ilvl w:val="0"/>
          <w:numId w:val="179"/>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fair value of any pre-existing equity interest in the subsidiary.</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Identifiable assets acquired and liabilities and contingent liabilities assumed in a business combination are, with limited exceptions, measured initially at their fair values at the acquisition date. Acquisition-related costs are expensed as incurred. The excess of the consideration transferred, amount of any non-controlling interest in the acquired entity, and acquisition-date fair value of any previous equity interest in the acquired entity over the fair value of the net identifiable assets acquired is recorded as goodwill. If those amounts are less than the fair value of the net identifiable assets of the subsidiary acquired, the difference is recognized directly in profit or loss as a bargain purchase.</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Where settlement of any part of cash consideration is deferred, the amounts payable in the future are discounted to their present value as at the date of exchange. The post-tax discount rate used is the entity’s incremental borrowing rate, being the rate at which a similar borrowing could be obtained from an independent financier under comparable terms and conditions. Contingent consideration is classified either as equity or a financial liability. Amounts classified as a financial liability are subsequently remeasured to fair value with changes in fair value recognized in profit or loss.</w:t>
      </w: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acquisition date carrying value of the Group’s previously held equity interest in the acquiree is remeasured to fair value at the acquisition date. Any gains or losses arising from such remeasurement are recognized in profit or loss. If the initial accounting for a business combination is incomplete by the end of the reporting period in which the combination occurs, the Group reports provisional amounts for the items for which the accounting is incomplete. Those provisional amounts are adjusted during the measurement period (see below), or additional assets or liabilities are recognized, to reflect new information obtained about facts and circumstances that existed as of the acquisition date that, if known, would have affected the amounts recognized as of that date. The measurement period is the period from the date of acquisition to the date the Group obtains complete information about facts and circumstances that existed as of the acquisition date and is subject to a maximum of one 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 Current and non-current classification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are presented in the consolidated statement of financial position based on current and non- current classification.</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 asset is current when it is expected to be realized or intended to be sold or consumed in the Group’s normal operating cycle; it is held primarily for the purpose of trading; it is expected to be realized within 12 months after the reporting period; or the asset is cash or cash equivalent unless restricted from being exchanged or used to settle a liability for at least 12 months after the reporting period. All other assets are classified as non-current.</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 liability is current when it is expected to be settled in the Group’s normal operating cycle; it is held primarily for the purpose of trading; it is due to be settled within 12 months after the reporting period; or there is no right to defer the settlement of the liability for at least 12 months after the reporting period. All other liabilities are classified as non-current. For instances where a liability is based on sales volumes, the payment expected to be realized within 12 months is current based on the underlying estimate of the timing of sales.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liabilities are always classified as non-current.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 Cash and cash equivalents</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the purpose of presentation in the consolidated statement of cash flows, cash and cash equivalents includes cash on hand, deposits held at call with financial institutions, other short-term, highly liquid investments with original maturities of three months or less that are readily convertible to known amounts of cash and which are subject to an insignificant risk of changes in value, and bank overdrafts. Bank overdrafts are shown within borrowings in current liabilities in the consolidated statement of financial position.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Trade and other receivables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Trade receivables and other receivables are all classified as financial assets held at amortized cost. Trade receivables are recognized initially at the amount of consideration that is unconditional, unless they contain significant financing components when they are recognized at fair value.</w:t>
      </w:r>
    </w:p>
    <w:p>
      <w:pPr>
        <w:spacing w:after="0" w:line="3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ind w:left="380" w:hanging="372"/>
        <w:spacing w:after="0"/>
        <w:tabs>
          <w:tab w:leader="none" w:pos="380" w:val="left"/>
        </w:tabs>
        <w:numPr>
          <w:ilvl w:val="0"/>
          <w:numId w:val="18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of trade and other receivables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collectability of trade and other receivables is reviewed on an ongoing basis. Individual debts which are known to be uncollectible are written off when identified. The Group recognizes an impairment provision based upon anticipated lifetime losses of trade receivables.</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anticipated losses are determined with reference to historical loss experience (when it is available) and are regularly reviewed and updated. They are subsequently measured at amortized cost using the effective interest method, less loss allowance. See note 32.4 for further information about the Group’s accounting for trade receivables and description of the Group’s impairment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2.10.Inventories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Raw materials and stores, work in progress and finished goods</w:t>
      </w:r>
    </w:p>
    <w:p>
      <w:pPr>
        <w:spacing w:after="0" w:line="2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Raw materials and stores, work in progress and finished goods are stated at the lower of cost and net realizable value. Cost comprises direct materials, direct labor and an appropriate proportion of variable and fixed overhead expenditure, the latter being allocated on the basis of normal operating capacity. Cost includes the reclassification from equity of any gains or losses on qualifying cash flow hedges relating to purchases of raw material but excludes borrowing costs. Costs are assigned to individual items of inventory on the basis of weighted average costs. Costs of purchased inventory are determined after deducting rebates and discounts. Net realizable value is the estimated selling price in the ordinary course of business less the estimated costs of completion and the estimated costs necessary to make the sale. Clinical and pre-launch inventory with no alternative use is expensed as produced and recorded as research and development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 Property, plant and equipment</w:t>
      </w:r>
    </w:p>
    <w:p>
      <w:pPr>
        <w:spacing w:after="0" w:line="22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All property, plant and equipment is stated at historical cost less accumulated depreciation. Historical cost includes expenditure that is directly attributable to the acquisition of the items. Cost may also include transfer from equity of any gains or losses on qualifying cash flow hedges of foreign currency purchases of property, plant and equipment. Subsequent costs are included in the asset’s carrying amount or recognized as a separate asset, as appropriate, only when it is probable that future economic benefits associated with the item will flow to the Group and the cost of the item can be measured reliably.</w:t>
      </w:r>
    </w:p>
    <w:p>
      <w:pPr>
        <w:spacing w:after="0" w:line="16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carrying amount of any component accounted for as a separate asset is derecognized when replaced. All other repairs and maintenance are charged to profit or loss during the reporting period in which they are incurred.</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Depreciation is calculated using the straight-line method to allocate the cost, net of the residual values, over the estimated useful lives. The assets’ residual values and useful lives are reviewed, and adjusted if appropriate, at the end of each reporting period. An asset’s carrying amount is written down immediately to its recoverable amount if the asset’s carrying amount is greater than its estimated recoverable amount.</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useful lives of assets are as follows:</w:t>
      </w:r>
    </w:p>
    <w:p>
      <w:pPr>
        <w:spacing w:after="0" w:line="225" w:lineRule="exact"/>
        <w:rPr>
          <w:sz w:val="20"/>
          <w:szCs w:val="20"/>
          <w:color w:val="auto"/>
        </w:rPr>
      </w:pPr>
    </w:p>
    <w:p>
      <w:pPr>
        <w:ind w:left="380" w:hanging="372"/>
        <w:spacing w:after="0"/>
        <w:tabs>
          <w:tab w:leader="none" w:pos="380" w:val="left"/>
        </w:tabs>
        <w:numPr>
          <w:ilvl w:val="0"/>
          <w:numId w:val="18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Buildings: 18 years</w:t>
      </w:r>
    </w:p>
    <w:p>
      <w:pPr>
        <w:spacing w:after="0" w:line="27" w:lineRule="exact"/>
        <w:rPr>
          <w:rFonts w:ascii="Times New Roman" w:cs="Times New Roman" w:eastAsia="Times New Roman" w:hAnsi="Times New Roman"/>
          <w:sz w:val="18"/>
          <w:szCs w:val="18"/>
          <w:color w:val="0A2E94"/>
        </w:rPr>
      </w:pPr>
    </w:p>
    <w:p>
      <w:pPr>
        <w:ind w:left="380" w:hanging="372"/>
        <w:spacing w:after="0"/>
        <w:tabs>
          <w:tab w:leader="none" w:pos="380" w:val="left"/>
        </w:tabs>
        <w:numPr>
          <w:ilvl w:val="0"/>
          <w:numId w:val="18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Plant and equipment: 3-15 years</w:t>
      </w:r>
    </w:p>
    <w:p>
      <w:pPr>
        <w:spacing w:after="0" w:line="9" w:lineRule="exact"/>
        <w:rPr>
          <w:rFonts w:ascii="Times New Roman" w:cs="Times New Roman" w:eastAsia="Times New Roman" w:hAnsi="Times New Roman"/>
          <w:sz w:val="18"/>
          <w:szCs w:val="18"/>
          <w:color w:val="0A2E94"/>
        </w:rPr>
      </w:pPr>
    </w:p>
    <w:p>
      <w:pPr>
        <w:ind w:left="380" w:hanging="372"/>
        <w:spacing w:after="0"/>
        <w:tabs>
          <w:tab w:leader="none" w:pos="380" w:val="left"/>
        </w:tabs>
        <w:numPr>
          <w:ilvl w:val="0"/>
          <w:numId w:val="18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Furniture, fittings and equipment: 3-5 years</w:t>
      </w:r>
    </w:p>
    <w:p>
      <w:pPr>
        <w:spacing w:after="0" w:line="9" w:lineRule="exact"/>
        <w:rPr>
          <w:rFonts w:ascii="Times New Roman" w:cs="Times New Roman" w:eastAsia="Times New Roman" w:hAnsi="Times New Roman"/>
          <w:sz w:val="18"/>
          <w:szCs w:val="18"/>
          <w:color w:val="0A2E94"/>
        </w:rPr>
      </w:pPr>
    </w:p>
    <w:p>
      <w:pPr>
        <w:ind w:left="380" w:hanging="372"/>
        <w:spacing w:after="0"/>
        <w:tabs>
          <w:tab w:leader="none" w:pos="380" w:val="left"/>
        </w:tabs>
        <w:numPr>
          <w:ilvl w:val="0"/>
          <w:numId w:val="18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Leased plant and equipment: 3-5 years</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Gains and losses on disposals are determined by comparing proceeds with carrying amount. These are included in profit or loss. When revalued assets are sold, it is Group policy to transfer any amounts included in other reserves in respect of those assets to accumulated losses.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2.12.Lease liabilities</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Liabilities arising from a lease are initially measured on a present value basis. Lease liabilities include the net present value of the following lease payments:</w:t>
      </w:r>
    </w:p>
    <w:p>
      <w:pPr>
        <w:spacing w:after="0" w:line="162" w:lineRule="exact"/>
        <w:rPr>
          <w:sz w:val="20"/>
          <w:szCs w:val="20"/>
          <w:color w:val="auto"/>
        </w:rPr>
      </w:pPr>
    </w:p>
    <w:p>
      <w:pPr>
        <w:ind w:left="380" w:hanging="372"/>
        <w:spacing w:after="0"/>
        <w:tabs>
          <w:tab w:leader="none" w:pos="380" w:val="left"/>
        </w:tabs>
        <w:numPr>
          <w:ilvl w:val="0"/>
          <w:numId w:val="18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fixed payments (including in-substance fixed payments), less any lease incentives receivable</w:t>
      </w:r>
    </w:p>
    <w:p>
      <w:pPr>
        <w:spacing w:after="0" w:line="27" w:lineRule="exact"/>
        <w:rPr>
          <w:rFonts w:ascii="Times New Roman" w:cs="Times New Roman" w:eastAsia="Times New Roman" w:hAnsi="Times New Roman"/>
          <w:sz w:val="18"/>
          <w:szCs w:val="18"/>
          <w:color w:val="0A2E94"/>
        </w:rPr>
      </w:pPr>
    </w:p>
    <w:p>
      <w:pPr>
        <w:ind w:left="380" w:hanging="372"/>
        <w:spacing w:after="0"/>
        <w:tabs>
          <w:tab w:leader="none" w:pos="380" w:val="left"/>
        </w:tabs>
        <w:numPr>
          <w:ilvl w:val="0"/>
          <w:numId w:val="18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variable lease payments that are based on an index or a rate, initially measured using the index or rate as at the commencement date</w:t>
      </w:r>
    </w:p>
    <w:p>
      <w:pPr>
        <w:spacing w:after="0" w:line="9" w:lineRule="exact"/>
        <w:rPr>
          <w:rFonts w:ascii="Times New Roman" w:cs="Times New Roman" w:eastAsia="Times New Roman" w:hAnsi="Times New Roman"/>
          <w:sz w:val="18"/>
          <w:szCs w:val="18"/>
          <w:color w:val="0A2E94"/>
        </w:rPr>
      </w:pPr>
    </w:p>
    <w:p>
      <w:pPr>
        <w:ind w:left="380" w:hanging="372"/>
        <w:spacing w:after="0"/>
        <w:tabs>
          <w:tab w:leader="none" w:pos="380" w:val="left"/>
        </w:tabs>
        <w:numPr>
          <w:ilvl w:val="0"/>
          <w:numId w:val="18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amounts expected to be payable by the Group under residual value guarantees</w:t>
      </w:r>
    </w:p>
    <w:p>
      <w:pPr>
        <w:spacing w:after="0" w:line="9" w:lineRule="exact"/>
        <w:rPr>
          <w:rFonts w:ascii="Times New Roman" w:cs="Times New Roman" w:eastAsia="Times New Roman" w:hAnsi="Times New Roman"/>
          <w:sz w:val="18"/>
          <w:szCs w:val="18"/>
          <w:color w:val="0A2E94"/>
        </w:rPr>
      </w:pPr>
    </w:p>
    <w:p>
      <w:pPr>
        <w:ind w:left="380" w:hanging="372"/>
        <w:spacing w:after="0"/>
        <w:tabs>
          <w:tab w:leader="none" w:pos="380" w:val="left"/>
        </w:tabs>
        <w:numPr>
          <w:ilvl w:val="0"/>
          <w:numId w:val="18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exercise price of a purchase option if the Group is reasonably certain to exercise that option, and</w:t>
      </w:r>
    </w:p>
    <w:p>
      <w:pPr>
        <w:spacing w:after="0" w:line="9" w:lineRule="exact"/>
        <w:rPr>
          <w:rFonts w:ascii="Times New Roman" w:cs="Times New Roman" w:eastAsia="Times New Roman" w:hAnsi="Times New Roman"/>
          <w:sz w:val="18"/>
          <w:szCs w:val="18"/>
          <w:color w:val="0A2E94"/>
        </w:rPr>
      </w:pPr>
    </w:p>
    <w:p>
      <w:pPr>
        <w:ind w:left="380" w:hanging="372"/>
        <w:spacing w:after="0"/>
        <w:tabs>
          <w:tab w:leader="none" w:pos="380" w:val="left"/>
        </w:tabs>
        <w:numPr>
          <w:ilvl w:val="0"/>
          <w:numId w:val="182"/>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payments of penalties for terminating the lease, if the lease term reflects the Group exercising that option.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payments to be made under reasonably certain extension options are also included in the measurement of the liability.</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Leases are recognized as a right-of-use asset and a corresponding liability at the date at which the leased asset is available for use by the Group. Each lease payment is allocated between the liability and finance cost. The finance cost is charged to profit or loss over the lease period so as to produce a constant periodic rate of interest on the remaining balance of the liability for each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2.13.Right-of-use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are measured at cost comprising the following:</w:t>
      </w:r>
    </w:p>
    <w:p>
      <w:pPr>
        <w:spacing w:after="0" w:line="225" w:lineRule="exact"/>
        <w:rPr>
          <w:sz w:val="20"/>
          <w:szCs w:val="20"/>
          <w:color w:val="auto"/>
        </w:rPr>
      </w:pPr>
    </w:p>
    <w:p>
      <w:pPr>
        <w:ind w:left="380" w:hanging="372"/>
        <w:spacing w:after="0"/>
        <w:tabs>
          <w:tab w:leader="none" w:pos="380" w:val="left"/>
        </w:tabs>
        <w:numPr>
          <w:ilvl w:val="0"/>
          <w:numId w:val="18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the amount of the initial measurement of lease liability</w:t>
      </w:r>
    </w:p>
    <w:p>
      <w:pPr>
        <w:spacing w:after="0" w:line="27" w:lineRule="exact"/>
        <w:rPr>
          <w:rFonts w:ascii="Times New Roman" w:cs="Times New Roman" w:eastAsia="Times New Roman" w:hAnsi="Times New Roman"/>
          <w:sz w:val="18"/>
          <w:szCs w:val="18"/>
          <w:color w:val="0A2E94"/>
        </w:rPr>
      </w:pPr>
    </w:p>
    <w:p>
      <w:pPr>
        <w:ind w:left="380" w:hanging="372"/>
        <w:spacing w:after="0"/>
        <w:tabs>
          <w:tab w:leader="none" w:pos="380" w:val="left"/>
        </w:tabs>
        <w:numPr>
          <w:ilvl w:val="0"/>
          <w:numId w:val="18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any lease payments made at or before the commencement date less any lease incentives received</w:t>
      </w:r>
    </w:p>
    <w:p>
      <w:pPr>
        <w:spacing w:after="0" w:line="9" w:lineRule="exact"/>
        <w:rPr>
          <w:rFonts w:ascii="Times New Roman" w:cs="Times New Roman" w:eastAsia="Times New Roman" w:hAnsi="Times New Roman"/>
          <w:sz w:val="18"/>
          <w:szCs w:val="18"/>
          <w:color w:val="0A2E94"/>
        </w:rPr>
      </w:pPr>
    </w:p>
    <w:p>
      <w:pPr>
        <w:ind w:left="380" w:hanging="372"/>
        <w:spacing w:after="0"/>
        <w:tabs>
          <w:tab w:leader="none" w:pos="380" w:val="left"/>
        </w:tabs>
        <w:numPr>
          <w:ilvl w:val="0"/>
          <w:numId w:val="18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any initial direct costs, and</w:t>
      </w:r>
    </w:p>
    <w:p>
      <w:pPr>
        <w:spacing w:after="0" w:line="9" w:lineRule="exact"/>
        <w:rPr>
          <w:rFonts w:ascii="Times New Roman" w:cs="Times New Roman" w:eastAsia="Times New Roman" w:hAnsi="Times New Roman"/>
          <w:sz w:val="18"/>
          <w:szCs w:val="18"/>
          <w:color w:val="0A2E94"/>
        </w:rPr>
      </w:pPr>
    </w:p>
    <w:p>
      <w:pPr>
        <w:ind w:left="380" w:hanging="372"/>
        <w:spacing w:after="0"/>
        <w:tabs>
          <w:tab w:leader="none" w:pos="380" w:val="left"/>
        </w:tabs>
        <w:numPr>
          <w:ilvl w:val="0"/>
          <w:numId w:val="18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restoration costs.</w:t>
      </w: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Right-of-use assets are depreciated over the shorter of the asset’s useful life and the lease term on a straight-line basis. If the Group is reasonably certain to exercise a purchase option, the right-of-use asset is depreciated over the underlying asset’s useful life.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2.14.Non-current financial assets</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Non-current financial assets held for long-term strategic purposes are classified within non-current assets on the consolidated statement of financial position. The financial impacts related to these financial assets are recorded in other comprehensive income.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Non-current financial assets are initially recorded at fair value on their trade date, which is different from the settlement date when the transaction is ultimately effected. Quoted securities are remeasured at each reporting date to fair value based on current market prices. If the market for a financial asset is not active or no market is available, fair values are established using valuation techniques.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Equity securities held as strategic investments are generally designated at the date of acquisition as financial assets valued at fair value through other comprehensive income with no subsequent recycling through profit or loss. Unrealized gains and losses, including exchange gains and losses, are recorded as a fair value adjustment in the consolidated statement of comprehensive income. They are reclassified to retained earnings when the equity security is sold.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2.15.Intangible assets</w:t>
      </w:r>
    </w:p>
    <w:p>
      <w:pPr>
        <w:spacing w:after="0" w:line="223" w:lineRule="exact"/>
        <w:rPr>
          <w:sz w:val="20"/>
          <w:szCs w:val="20"/>
          <w:color w:val="auto"/>
        </w:rPr>
      </w:pPr>
    </w:p>
    <w:p>
      <w:pPr>
        <w:ind w:left="380" w:hanging="372"/>
        <w:spacing w:after="0"/>
        <w:tabs>
          <w:tab w:leader="none" w:pos="380" w:val="left"/>
        </w:tabs>
        <w:numPr>
          <w:ilvl w:val="0"/>
          <w:numId w:val="184"/>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Goodwill on acquisitions of subsidiaries is included in intangible assets. Goodwill is not amortized, but is tested for impairment annually, or more frequently if events or changes in circumstances indicate that it might be impaired and is carried at cost less accumulated impairment losses. Gains and losses on the disposal of an entity include the carrying amount of goodwill relating to the entity sold. Goodwill is allocated to cash-generating units for the purpose of impairment testing. The allocation is made to those cash-generating units or group of cash- generating units that are expected to benefit from the business combination in which the goodwill arose.</w:t>
      </w:r>
    </w:p>
    <w:p>
      <w:pPr>
        <w:spacing w:after="0" w:line="181" w:lineRule="exact"/>
        <w:rPr>
          <w:sz w:val="20"/>
          <w:szCs w:val="20"/>
          <w:color w:val="auto"/>
        </w:rPr>
      </w:pPr>
    </w:p>
    <w:p>
      <w:pPr>
        <w:ind w:left="380" w:hanging="372"/>
        <w:spacing w:after="0"/>
        <w:tabs>
          <w:tab w:leader="none" w:pos="380" w:val="left"/>
        </w:tabs>
        <w:numPr>
          <w:ilvl w:val="0"/>
          <w:numId w:val="185"/>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Patents, trademarks, licenses and customer contracts</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Separately acquired trademarks and licenses are shown at historical cost. Trademarks, licenses and customer contracts acquired in a business combination are recognized at fair value at the acquisition date. They have a finite useful life and are subsequently carried at cost less accumulated amortization and impairment losses. The useful life of these intangibles assets is 5 to 20 years.</w:t>
      </w:r>
    </w:p>
    <w:p>
      <w:pPr>
        <w:spacing w:after="0" w:line="174" w:lineRule="exact"/>
        <w:rPr>
          <w:sz w:val="20"/>
          <w:szCs w:val="20"/>
          <w:color w:val="auto"/>
        </w:rPr>
      </w:pPr>
    </w:p>
    <w:p>
      <w:pPr>
        <w:ind w:left="380" w:hanging="372"/>
        <w:spacing w:after="0"/>
        <w:tabs>
          <w:tab w:leader="none" w:pos="380" w:val="left"/>
        </w:tabs>
        <w:numPr>
          <w:ilvl w:val="0"/>
          <w:numId w:val="186"/>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Intellectual property</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Intellectual property arising from business combinations is recognized at fair value when separately identifiable from goodwill. Intellectual property is recorded as an indefinite life asset when it is not yet ready for use. At the point the asset is ready for use, the useful life is reassessed as a definite life asset and amortized over a period of 5 to 20 years. Amortization and impairment charges related to currently marketed products are recognized in cost of goods sold.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Assets not available for use are tested annually for impairment. Assets are carried at cost less accumulated impairment losses and/or accumulated amortization. An impairment trigger assessment is performed annually for assets available for use.</w:t>
      </w:r>
    </w:p>
    <w:p>
      <w:pPr>
        <w:spacing w:after="0" w:line="160" w:lineRule="exact"/>
        <w:rPr>
          <w:sz w:val="20"/>
          <w:szCs w:val="20"/>
          <w:color w:val="auto"/>
        </w:rPr>
      </w:pPr>
    </w:p>
    <w:p>
      <w:pPr>
        <w:ind w:left="380" w:hanging="372"/>
        <w:spacing w:after="0"/>
        <w:tabs>
          <w:tab w:leader="none" w:pos="380" w:val="left"/>
        </w:tabs>
        <w:numPr>
          <w:ilvl w:val="0"/>
          <w:numId w:val="187"/>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Research expenditure on internal projects is recognized as an expense as incurred. Costs incurred on development projects (relating to the design and testing of new or improved products) are recognized as intangible assets when it is probable that the project will, after considering its commercial and technical feasibility, be completed and generate future economic benefits and its costs can be measured reliably. The expenditure that could be recognized comprises all directly attributable costs, including costs of materials, services, direct labor and an appropriate proportion of overheads.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expenditures that do not meet these criteria are recognized as an expense as incurred. As the Group has not met the requirement under the standard to recognize costs in relation to development as intangible assets, these amounts have been expensed within the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2.16.Impairment of assets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Goodwill and intangible assets that have an indefinite useful life are not subject to amortization and are tested annually for impairment, or more frequently if events or changes in circumstances indicate that they might be impaired. Other assets are tested for impairment whenever events or changes in circumstances indicate that the carrying amount may not be recoverable. An impairment loss is recognized for the amount by which the asset’s carrying amount exceeds its recoverable amount. The recoverable amount is the higher of an asset’s fair value less costs of disposal and value in use. For the purposes of assessing impairment, assets are grouped at the lowest levels for which there are separately identifiable cash inflows which are largely independent of the cash inflows from other assets or Groups of assets (cash-generating units). Non-financial assets other than goodwill that suffered an impairment are reviewed for possible reversal of the impairment at the end of each reporting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2.17.Trade and other payables</w:t>
      </w:r>
    </w:p>
    <w:p>
      <w:pPr>
        <w:spacing w:after="0" w:line="22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These amounts represent liabilities for goods and services provided to the Group prior to the reporting date which are unpaid. The amounts are unsecured and are usually paid within 30 days of recognition. Trade and other payables are presented as current liabilities unless payment is not due within 12 months after the reporting period. They are recognized initially at fair value and subsequently measured at amortized cost using the effective interest method.</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2.18.Provisions</w:t>
      </w:r>
    </w:p>
    <w:p>
      <w:pPr>
        <w:spacing w:after="0" w:line="2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Provisions are recognized when the Group has a present (legal or constructive) obligation as a result of a past event, it is probable the Group will be required to settle the obligation, and a reliable estimate can be made of the amount of the obligation. The amount recognized as a provision is the best estimate of the consideration required to settle the present obligation at the reporting date, taking into account the risks and uncertainties surrounding the obligation. If the time value of money is material, provisions are discounted using a current pre-tax rate specific to the liability. The increase in the provision resulting from the passage of time is recognized as a finance cost.</w:t>
      </w:r>
    </w:p>
    <w:p>
      <w:pPr>
        <w:spacing w:after="0" w:line="181" w:lineRule="exact"/>
        <w:rPr>
          <w:sz w:val="20"/>
          <w:szCs w:val="20"/>
          <w:color w:val="auto"/>
        </w:rPr>
      </w:pPr>
    </w:p>
    <w:p>
      <w:pPr>
        <w:ind w:left="380" w:hanging="372"/>
        <w:spacing w:after="0"/>
        <w:tabs>
          <w:tab w:leader="none" w:pos="380" w:val="left"/>
        </w:tabs>
        <w:numPr>
          <w:ilvl w:val="0"/>
          <w:numId w:val="18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Decommissioning liability</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Group has recognized a provision for its obligation to decommission its radiopharmaceutical production facility at the end of its operating life. At the end of a facility’s life, costs are incurred in safely removing certain assets involved in the production of radioactive isotopes. The Group recognizes the full discounted cost of decommissioning as an asset and liability when the obligation to restore sites arises. The decommissioning asset is included within property, plant and equipment with the cost of the related installation. The liability is included within provisions. Revisions to the estimated costs of decommissioning which alter the level of the provisions required are also reflected in adjustments to the decommissioning asset. The amortization of the asset is included in the consolidated statement of comprehensive income or loss and the unwinding of discount of the provision is included within finance costs. Further detail has been provided in note 26.2.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2.19.Contingent consideration</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contingent consideration liabilities associated with business combinations are measured at fair value which has been calculated with reference to our judgement of the expected probability and timing of the potential future milestone payments, which is then discounted to a present value using appropriate discount rates with reference to the Group’s weighted average cost of capital. Subsequent changes in estimates for contingent consideration liabilities are recognized in Other gains/(losses) (net). The effect of unwinding the discount over time is recognized in Finance costs.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Contingent consideration in connection with the purchase of individual assets outside of business combinations is recognized as a liability only when a non-contingent obligation arises (i.e. when milestone is met). Where the contingent consideration is payable in shares, or the group has an election to pay in shares, it is accounted for as an equity settled share-based payment. Equity settled share- based payments are recognized at their fair value at the date control of the asset is obtained. The determination of whether the payment should be capitalized or expensed is usually based on the reason for the contingent payment. If the contingent payment is based on regulatory approvals received (i.e. development milestone), it will generally be capitalized as the payment is incidental to the acquisition so the asset may be made available for its intended use. If the contingent payment is based on period volumes sold (i.e. sales related milestone), it will generally be expensed.</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Changes in the fair value of liabilities from contingent consideration will be capitalized or expensed based on the nature of the asset acquired (refer above), except for the effect from unwinding discounts. Interest rate effects from unwinding of discounts are recognized as finance costs. The fair value of equity-settled share-based payments is not re-assessed once the asset has been recognized.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2.20.Employee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benefits are recognized as an expense, unless the cost qualifies to be capitalized as an asset.</w:t>
      </w:r>
    </w:p>
    <w:p>
      <w:pPr>
        <w:spacing w:after="0" w:line="223" w:lineRule="exact"/>
        <w:rPr>
          <w:sz w:val="20"/>
          <w:szCs w:val="20"/>
          <w:color w:val="auto"/>
        </w:rPr>
      </w:pPr>
    </w:p>
    <w:p>
      <w:pPr>
        <w:ind w:left="380" w:hanging="372"/>
        <w:spacing w:after="0"/>
        <w:tabs>
          <w:tab w:leader="none" w:pos="380" w:val="left"/>
        </w:tabs>
        <w:numPr>
          <w:ilvl w:val="0"/>
          <w:numId w:val="189"/>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Short-term obligations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Liabilities for wages and salaries, including non-monetary benefits and annual leave that is expected to be settled wholly within 12 months after the end of the period in which the employees render the related service are recognized in respect of employees’ services up to the end of the reporting period. These liabilities are measured at the amounts expected to be paid when the liabilities are settled. The liabilities are presented as current employee benefit obligations in the consolidated statement of financial position.</w:t>
      </w:r>
    </w:p>
    <w:p>
      <w:pPr>
        <w:spacing w:after="0" w:line="178" w:lineRule="exact"/>
        <w:rPr>
          <w:sz w:val="20"/>
          <w:szCs w:val="20"/>
          <w:color w:val="auto"/>
        </w:rPr>
      </w:pPr>
    </w:p>
    <w:p>
      <w:pPr>
        <w:ind w:left="380" w:hanging="372"/>
        <w:spacing w:after="0"/>
        <w:tabs>
          <w:tab w:leader="none" w:pos="380" w:val="left"/>
        </w:tabs>
        <w:numPr>
          <w:ilvl w:val="0"/>
          <w:numId w:val="190"/>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Other long-term employee benefit obligations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liabilities for long service leave are not expected to be settled wholly within 12 months after the end of the period in which the employees render the related service. They are therefore measured as the present value of expected future payments to be made in respect of services provided by employees up to the end of the reporting period using the projected unit credit method. Consideration is given to expected future wage and salary levels, experience of employee departures and periods of service. Expected future payments are discounted using market yields at the end of the reporting period of high-quality corporate bonds with terms and currencies that match, as closely as possible, the estimated future cash outflows. Remeasurements as a result of experience adjustments and changes in actuarial assumptions are recognized in profit or loss.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obligations are presented as current liabilities in the consolidated statement of financial position if the entity does not have an unconditional right to defer settlement for at least 12 months after the reporting period, regardless of when the actual settlement is expected to occur.</w:t>
      </w:r>
    </w:p>
    <w:p>
      <w:pPr>
        <w:spacing w:after="0" w:line="160" w:lineRule="exact"/>
        <w:rPr>
          <w:sz w:val="20"/>
          <w:szCs w:val="20"/>
          <w:color w:val="auto"/>
        </w:rPr>
      </w:pPr>
    </w:p>
    <w:p>
      <w:pPr>
        <w:ind w:left="380" w:hanging="372"/>
        <w:spacing w:after="0"/>
        <w:tabs>
          <w:tab w:leader="none" w:pos="380" w:val="left"/>
        </w:tabs>
        <w:numPr>
          <w:ilvl w:val="0"/>
          <w:numId w:val="191"/>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Share-based payments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Equity-settled share-based compensation benefits are provided to certain employees. Equity-settled transactions are awards of shares, options or performance rights over shares, that are provided to employees. The cost of equity-settled transactions is measured at fair value on grant date. Fair value is determined using the Black- Scholes option pricing model that takes into account the exercise price, the term of the option, the impact of dilution, the share price at grant date and expected price volatility of the underlying share, the expected dividend yield and the risk-free interest rate for the term of the option and volatility. No account is taken of any other vesting conditions.</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the non-vesting condition is within the control of the consolidated entity or employee, the failure to satisfy the condition is treated as a cancellation. If the condition is not within the control of the consolidated entity or employee and is not satisfied during the vesting period, any remaining expense for the award is recognized over the remaining vesting period, unless the award is forfeited. If equity-settled awards are cancelled, it is treated as if it has vested on the date of cancellation, and any remaining expense is recognized immediately. If a new replacement award is substituted for the cancelled award, the cancelled and new awards are treated as if they were a modification.</w:t>
      </w:r>
    </w:p>
    <w:p>
      <w:pPr>
        <w:spacing w:after="0" w:line="181" w:lineRule="exact"/>
        <w:rPr>
          <w:sz w:val="20"/>
          <w:szCs w:val="20"/>
          <w:color w:val="auto"/>
        </w:rPr>
      </w:pPr>
    </w:p>
    <w:p>
      <w:pPr>
        <w:ind w:left="380" w:hanging="372"/>
        <w:spacing w:after="0"/>
        <w:tabs>
          <w:tab w:leader="none" w:pos="380" w:val="left"/>
        </w:tabs>
        <w:numPr>
          <w:ilvl w:val="0"/>
          <w:numId w:val="192"/>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Termination benefits</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Termination benefits are payable when employment is terminated by the Group before the normal retirement date, or when an employee accepts voluntary redundancy in exchange for these benefits. The Group recognizes termination benefits at the earlier of the following dates:</w:t>
      </w:r>
    </w:p>
    <w:p>
      <w:pPr>
        <w:spacing w:after="0" w:line="162" w:lineRule="exact"/>
        <w:rPr>
          <w:sz w:val="20"/>
          <w:szCs w:val="20"/>
          <w:color w:val="auto"/>
        </w:rPr>
      </w:pPr>
    </w:p>
    <w:p>
      <w:pPr>
        <w:ind w:left="380" w:hanging="372"/>
        <w:spacing w:after="0"/>
        <w:tabs>
          <w:tab w:leader="none" w:pos="380" w:val="left"/>
        </w:tabs>
        <w:numPr>
          <w:ilvl w:val="0"/>
          <w:numId w:val="19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when the Group can no longer withdraw the offer of those benefits, and</w:t>
      </w:r>
    </w:p>
    <w:p>
      <w:pPr>
        <w:spacing w:after="0" w:line="27" w:lineRule="exact"/>
        <w:rPr>
          <w:rFonts w:ascii="Times New Roman" w:cs="Times New Roman" w:eastAsia="Times New Roman" w:hAnsi="Times New Roman"/>
          <w:sz w:val="18"/>
          <w:szCs w:val="18"/>
          <w:color w:val="0A2E94"/>
        </w:rPr>
      </w:pPr>
    </w:p>
    <w:p>
      <w:pPr>
        <w:ind w:left="380" w:right="160" w:hanging="372"/>
        <w:spacing w:after="0" w:line="253" w:lineRule="auto"/>
        <w:tabs>
          <w:tab w:leader="none" w:pos="380" w:val="left"/>
        </w:tabs>
        <w:numPr>
          <w:ilvl w:val="0"/>
          <w:numId w:val="19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when the entity recognizes costs for a restructuring that is within the scope of IAS 37</w:t>
      </w:r>
      <w:r>
        <w:rPr>
          <w:rFonts w:ascii="Times New Roman" w:cs="Times New Roman" w:eastAsia="Times New Roman" w:hAnsi="Times New Roman"/>
          <w:sz w:val="18"/>
          <w:szCs w:val="18"/>
          <w:i w:val="1"/>
          <w:iCs w:val="1"/>
          <w:color w:val="auto"/>
        </w:rPr>
        <w:t>Provisions, Contingent Liabilities and Contingent Assets</w:t>
      </w:r>
      <w:r>
        <w:rPr>
          <w:rFonts w:ascii="Times New Roman" w:cs="Times New Roman" w:eastAsia="Times New Roman" w:hAnsi="Times New Roman"/>
          <w:sz w:val="18"/>
          <w:szCs w:val="18"/>
          <w:color w:val="auto"/>
        </w:rPr>
        <w:t xml:space="preserve"> and involves the payment of termination benefits. In the case of an offer made to encourage voluntary redundancy, the termination benefits are measured based on the number of employees expected to accept the offer. Benefits falling due more than 12 months after the end of the reporting period are discounted to present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2.21.Borrowings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Borrowings are initially recognized at fair value, net of transaction costs incurred. Borrowings are subsequently measured at amortized cost. Any difference between the proceeds (net of transaction costs) and the redemption amount is recognized in profit or loss over the period of the borrowings using the effective interest method. Fees paid on the establishment of loan facilities are recognized as transaction costs of the loan to the extent that it is probable that some or all of the facility will be drawn down. In this case, the fee is deferred until the draw- down occurs. To the extent there is no evidence that it is probable that some or all of the facility will be drawn down, the fee is capitalized as a prepayment for liquidity services and amortized over the period of the facility to which it relates.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fair value of the liability portion of a convertible bond is determined using a market interest rate for an equivalent non-convertible bond. This amount is recorded as a liability on an amortized cost basis until extinguished on conversion or maturity of the bonds. The remainder of the proceeds is allocated to the conversion option. This is recognized and included in share capital reserve within equity.</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costs that are directly attributable to the construction of qualifying assets are capitalized as part of the cost of the relevant asset.</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Borrowings are removed from the consolidated statement of financial position when the obligation specified in the contract is discharged, cancelled or expired. The difference between the carrying amount of a financial liability that has been extinguished or transferred to another party and the consideration paid, including any non-cash assets transferred or liabilities assumed, is recognized in profit or loss as other income or finance costs.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Borrowings are classified as current liabilities unless the Group has an unconditional right to defer settlement of the liability for at least 12 months after the reporting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2.22.Revenue</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Revenue is measured at the fair value of the consideration received or receivable. Amounts disclosed as revenue are net of returns, trade allowances, rebates and amounts collected on behalf of third parties.</w:t>
      </w:r>
    </w:p>
    <w:p>
      <w:pPr>
        <w:spacing w:after="0" w:line="16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 xml:space="preserve">Revenue is recognized using a five step approach in accordance with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 depict the transfer of promised goods or services to customers in an amount that reflects the consideration to which the Group expects to be entitled in exchange for those goods or services.</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Distinct promises within the contract are identified as performance obligations. The transaction price of the contract is measured based on the amount of consideration the Group expects to be entitled to from the customer in exchange for goods or services. Factors such as requirements around variable consideration, significant financing components, noncash consideration, or amounts payable to customers also determine the transaction price. The transaction is then allocated to separate performance obligations in the contract based on relative standalone selling prices.</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Revenue is recognized when, or as, performance obligations are satisfied, which is when control of the promised good or service is transferred to the customer.</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Amounts received prior to satisfying the revenue recognition criteria are recorded as contract liabilities. Amounts expected to be recognized as revenue within the 12 months following the consolidated statement of financial position date are classified within current liabilities. Amounts not expected to be recognized as revenue within the 12 months following the consolidated statement of financial position date are classified within non-current liabilities.</w:t>
      </w: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ind w:left="380" w:hanging="372"/>
        <w:spacing w:after="0"/>
        <w:tabs>
          <w:tab w:leader="none" w:pos="380" w:val="left"/>
        </w:tabs>
        <w:numPr>
          <w:ilvl w:val="0"/>
          <w:numId w:val="19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Sales of goods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Sales are recognized at a point-in-time when control of the products has transferred, being when the products are delivered to the customer. Further, in determining whether control has transferred, Telix considers if there is a present right to payment and legal title, along with risks and rewards of ownership having transferred to the customer. Revenue from sales is recognized based on the price specified in the contract, net of the estimated volume discounts and government rebates.</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Accumulated experience is used to estimate and provide for discounts, using the expected value method, and revenue is recognized to the extent that it is highly probable that a significant reversal will not occur. No element of financing is deemed present as the sales are made with credit terms ranging from 30 to 45 days, which is consistent with market practice.</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Where distributors are used to facilitate the supply of a product a distribution fee is charged. This fee represents a cost of satisfying the performance obligation to the customer and expensed within Cost of sales in the Consolidated statement of comprehensive income or loss.</w:t>
      </w:r>
    </w:p>
    <w:p>
      <w:pPr>
        <w:spacing w:after="0" w:line="160" w:lineRule="exact"/>
        <w:rPr>
          <w:sz w:val="20"/>
          <w:szCs w:val="20"/>
          <w:color w:val="auto"/>
        </w:rPr>
      </w:pPr>
    </w:p>
    <w:p>
      <w:pPr>
        <w:ind w:left="380" w:hanging="372"/>
        <w:spacing w:after="0"/>
        <w:tabs>
          <w:tab w:leader="none" w:pos="380" w:val="left"/>
        </w:tabs>
        <w:numPr>
          <w:ilvl w:val="0"/>
          <w:numId w:val="195"/>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Licenses of intellectual property</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When licenses of intellectual property are distinct from other goods or services promised in the contract, the transaction price is allocated to the license as revenue upon transfer of control of the license to the customer. All other promised goods or services in the license agreement are evaluated to determine if they are distinct. If they are not distinct, they are combined with other promised goods or services.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transaction price allocated to the license performance obligation is recognized based on the nature of the license arrangement. The transaction price is recognized over time if the nature of the license is a ‘right to access’ license. This is where the Group performs activities that significantly affect the intellectual property to which the customer has rights, the rights granted by the license directly expose the customer to any positive or negative effects of the Group’s activities, and those activities do not result in the transfer of a good or service to the customer as those activities occur. When licenses do not meet the criteria to be a right to access license, the license is a ’right to use’ license, and the transaction price is recognized at the point in time when the customer obtains control over the license.</w:t>
      </w:r>
    </w:p>
    <w:p>
      <w:pPr>
        <w:spacing w:after="0" w:line="185" w:lineRule="exact"/>
        <w:rPr>
          <w:sz w:val="20"/>
          <w:szCs w:val="20"/>
          <w:color w:val="auto"/>
        </w:rPr>
      </w:pPr>
    </w:p>
    <w:p>
      <w:pPr>
        <w:ind w:left="380" w:hanging="372"/>
        <w:spacing w:after="0"/>
        <w:tabs>
          <w:tab w:leader="none" w:pos="380" w:val="left"/>
        </w:tabs>
        <w:numPr>
          <w:ilvl w:val="0"/>
          <w:numId w:val="196"/>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Research and development services</w:t>
      </w:r>
    </w:p>
    <w:p>
      <w:pPr>
        <w:spacing w:after="0" w:line="22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Where research and development (R&amp;D) services do not significantly modify or customize the license nor are the license and development services significantly interrelated or interdependent, the provision of R&amp;D services is considered to be distinct. The transaction price is allocated to the R&amp;D services based on a cost-plus margin approach. Revenue is recognized over time based on the costs incurred to date as a percentage of total forecast costs. Reforecasting of total costs is performed at the end of each reporting period to ensure that costs recognized represent the goods or services transferred.</w:t>
      </w: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ind w:left="380" w:hanging="372"/>
        <w:spacing w:after="0"/>
        <w:tabs>
          <w:tab w:leader="none" w:pos="380" w:val="left"/>
        </w:tabs>
        <w:numPr>
          <w:ilvl w:val="0"/>
          <w:numId w:val="197"/>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Manufacturing services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 from providing contract manufacturing services is recognized in the period in which the services are rendered. For fixed-price contracts, revenue is recognized based on the actual service provided to the end of the reporting period as a proportion of the total services to be provided, because the customer receives and uses the benefits simultaneously. This is determined based on the actual time spent to deliver the service relative to the total expected hours.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instances where contracts include multiple deliverables, such as the sale of consumables and irradiation systems, each deliverable is therefore accounted for as a separate performance obligation. Where the contracts include multiple performance obligations, the transaction price is allocated to each performance obligation based on the stand-alone selling prices. Where these are not directly observable, they are estimated based on expected cost plus margin. If contracts include the installation of systems, revenue for the system is recognized at a point in time when control is transferred to the customer. The customer obtains control at the point in time when the system is delivered to the customer in accordance with the agreed terms and the customer accepted the system.</w:t>
      </w:r>
    </w:p>
    <w:p>
      <w:pPr>
        <w:spacing w:after="0" w:line="185" w:lineRule="exact"/>
        <w:rPr>
          <w:sz w:val="20"/>
          <w:szCs w:val="20"/>
          <w:color w:val="auto"/>
        </w:rPr>
      </w:pPr>
    </w:p>
    <w:p>
      <w:pPr>
        <w:ind w:left="380" w:hanging="372"/>
        <w:spacing w:after="0"/>
        <w:tabs>
          <w:tab w:leader="none" w:pos="380" w:val="left"/>
        </w:tabs>
        <w:numPr>
          <w:ilvl w:val="0"/>
          <w:numId w:val="198"/>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Financing component</w:t>
      </w:r>
    </w:p>
    <w:p>
      <w:pPr>
        <w:spacing w:after="0" w:line="22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existence of a significant financing component in the contract is considered under the five-step method under IFRS 15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the timing of payments agreed to by the parties to the contract (either explicitly or implicitly) provides the customer or the Group with a significant benefit of financing the transfer of goods or services to the customer, the promised amount of consideration will be adjusted for the effects of the time value of money when determining the transaction price.</w:t>
      </w:r>
    </w:p>
    <w:p>
      <w:pPr>
        <w:spacing w:after="0" w:line="174" w:lineRule="exact"/>
        <w:rPr>
          <w:sz w:val="20"/>
          <w:szCs w:val="20"/>
          <w:color w:val="auto"/>
        </w:rPr>
      </w:pPr>
    </w:p>
    <w:p>
      <w:pPr>
        <w:ind w:left="380" w:hanging="372"/>
        <w:spacing w:after="0"/>
        <w:tabs>
          <w:tab w:leader="none" w:pos="380" w:val="left"/>
        </w:tabs>
        <w:numPr>
          <w:ilvl w:val="0"/>
          <w:numId w:val="199"/>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Milestone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five-step method under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is applied to measure and recognize milestone revenue.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receipt of milestone payments is often contingent on meeting certain clinical, regulatory or commercial targets, and is therefore considered variable consideration.</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transaction price of the contingent milestone is estimated using the most likely amount method. Within the transaction price, some or all of the amount of the contingent milestone is included only to the extent that it is highly probable that a significant reversal in the amount of cumulative revenue recognized will not occur when the uncertainty associated with the contingent milestone is subsequently resolved. Milestone payments that are not within the control of the Group, such as regulatory approvals, are not considered highly probable of being achieved until those approvals are received.</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Any changes in the transaction price are allocated to all performance obligations in the contract unless the variable consideration relates only to one or more, but not all, of the performance obligations. When consideration for milestones is a sale-based or usage-based royalty that arises from licenses of intellectual property (such as cumulative net sales targets), revenue is recognized at the later of when (or as) the subsequent sale or usage occurs, or when the performance obligation to which some or all of the royalty has been allocated has been satisfied (or partially satisfied).</w:t>
      </w:r>
    </w:p>
    <w:p>
      <w:pPr>
        <w:spacing w:after="0" w:line="178" w:lineRule="exact"/>
        <w:rPr>
          <w:sz w:val="20"/>
          <w:szCs w:val="20"/>
          <w:color w:val="auto"/>
        </w:rPr>
      </w:pPr>
    </w:p>
    <w:p>
      <w:pPr>
        <w:ind w:left="380" w:hanging="372"/>
        <w:spacing w:after="0"/>
        <w:tabs>
          <w:tab w:leader="none" w:pos="380" w:val="left"/>
        </w:tabs>
        <w:numPr>
          <w:ilvl w:val="0"/>
          <w:numId w:val="200"/>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Sales-based or usage-based royalties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Licenses of intellectual property can include royalties that are based on the customer’s usage of the intellectual property or sale of products that contain the intellectual property. The specific exception to the general requirements of variable consideration and the constraint on variable consideration for sales-based or usage-based royalties promised in a license of intellectual property is applied. The exception requires such revenue to be recognized at the later of when (or as) the subsequent sale or usage occurs and the performance obligation to which some or all of the sales-based or usage-based royalty has been allocated has been satisfied (or partially satisfied).</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2.23.Government grants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from government grants is recognized at fair value where there is a reasonable assurance that the grant will be received, and the Group will comply with all attached conditions. Income from government grants is recognized in the consolidated statement of comprehensive income or loss on a systematic basis over the periods in which the Group recognizes as an expense the related costs for which the grants are intended to compensate.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2.24.Income tax</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income tax expense or credit for the period is the tax payable on the current period’s taxable income based on the applicable income tax rate for each jurisdiction adjusted by changes in deferred tax assets and liabilities attributable to temporary differences and to unused tax losses.</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Deferred income tax is provided in full, using the liability method, on temporary differences arising between the tax bases of assets and liabilities and their carrying amounts in the consolidated financial statements. However, deferred tax liabilities are not recognized if they arise from the initial recognition of goodwill. Deferred income tax is also not accounted for if it arises from initial recognition of an asset or liability in a transaction other than a business combination that at the time of the transaction affects neither accounting nor taxable profit or loss. Deferred income tax is determined using tax rates (and laws) that have been enacted or substantively enacted by the end of the reporting period and are expected to apply when the related deferred income tax asset is realized or the deferred income tax liability is settled. Deferred tax assets are recognized only if it is probable that future taxable amounts will be available to utilize those temporary differences and losses.</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Included in income tax expense for the period is the effect of Australian R&amp;D tax credits which may only be offset against Australian taxable income. As such, they are recognized as a component of income tax expense.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consolidation regime</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Telix Pharmaceuticals Limited and its wholly owned Australian resident entities have formed a tax-consolidated group and are therefore taxed as a single entity. The head entity within the tax-consolidated group is Telix Pharmaceuticals Limited. As a consequence, the deferred tax assets and deferred tax liabilities of these entities have been offset in the consolidated financial statements.</w:t>
      </w: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2.25.Sales Taxes and Goods and Services Tax (GST)</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Revenues, expenses and assets are recognized net of the amount of associated sales taxes and GST, unless the GST incurred is not recoverable from the taxation authority. In this case it is recognized as part of the cost of acquisition of the asset or as part of the expense.</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Cash flows are presented on a gross basis. The GST components of cash flows arising from investing or financing activities which are recoverable from, or payable to the taxation authority, are presented as operating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2.26.Earnings per share</w:t>
      </w:r>
    </w:p>
    <w:p>
      <w:pPr>
        <w:spacing w:after="0" w:line="223" w:lineRule="exact"/>
        <w:rPr>
          <w:sz w:val="20"/>
          <w:szCs w:val="20"/>
          <w:color w:val="auto"/>
        </w:rPr>
      </w:pPr>
    </w:p>
    <w:p>
      <w:pPr>
        <w:ind w:left="380" w:hanging="372"/>
        <w:spacing w:after="0"/>
        <w:tabs>
          <w:tab w:leader="none" w:pos="380" w:val="left"/>
        </w:tabs>
        <w:numPr>
          <w:ilvl w:val="0"/>
          <w:numId w:val="201"/>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Basic earnings per share</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the profit attributable to owners of the Company, excluding any costs of servicing equity other than ordinary shares, by the weighted average number of ordinary shares outstanding during the financial period, adjusted for bonus elements in ordinary shares issued during the period and excluding treasury shares.</w:t>
      </w:r>
    </w:p>
    <w:p>
      <w:pPr>
        <w:spacing w:after="0" w:line="174" w:lineRule="exact"/>
        <w:rPr>
          <w:sz w:val="20"/>
          <w:szCs w:val="20"/>
          <w:color w:val="auto"/>
        </w:rPr>
      </w:pPr>
    </w:p>
    <w:p>
      <w:pPr>
        <w:ind w:left="380" w:hanging="372"/>
        <w:spacing w:after="0"/>
        <w:tabs>
          <w:tab w:leader="none" w:pos="380" w:val="left"/>
        </w:tabs>
        <w:numPr>
          <w:ilvl w:val="0"/>
          <w:numId w:val="202"/>
        </w:numPr>
        <w:rPr>
          <w:rFonts w:ascii="Times New Roman" w:cs="Times New Roman" w:eastAsia="Times New Roman" w:hAnsi="Times New Roman"/>
          <w:sz w:val="18"/>
          <w:szCs w:val="18"/>
          <w:i w:val="1"/>
          <w:iCs w:val="1"/>
          <w:color w:val="18343A"/>
        </w:rPr>
      </w:pPr>
      <w:r>
        <w:rPr>
          <w:rFonts w:ascii="Times New Roman" w:cs="Times New Roman" w:eastAsia="Times New Roman" w:hAnsi="Times New Roman"/>
          <w:sz w:val="18"/>
          <w:szCs w:val="18"/>
          <w:i w:val="1"/>
          <w:iCs w:val="1"/>
          <w:color w:val="auto"/>
        </w:rPr>
        <w:t>Diluted earnings per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earnings per share adjusts the figures used in the determination of basic earnings per share to take into account: the after-income tax effect of interest and other financing costs associated with dilutive potential ordinary shares, and the weighted average number of additional ordinary shares that would have been outstanding assuming the conversion of all dilutive potential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2.27.Fair value measurement</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Certain judgements and estimates are made in determining the fair values of the financial instruments that are recognized and measured at fair value in the financial statements. To provide an indication about the reliability of the inputs used in determining fair value, the Group has classified its financial instruments into the three levels prescribed under the accounting standards. The different levels have been defined as follows:</w:t>
      </w:r>
    </w:p>
    <w:p>
      <w:pPr>
        <w:spacing w:after="0" w:line="172" w:lineRule="exact"/>
        <w:rPr>
          <w:sz w:val="20"/>
          <w:szCs w:val="20"/>
          <w:color w:val="auto"/>
        </w:rPr>
      </w:pPr>
    </w:p>
    <w:p>
      <w:pPr>
        <w:ind w:left="580" w:right="80" w:hanging="248"/>
        <w:spacing w:after="0" w:line="263" w:lineRule="auto"/>
        <w:tabs>
          <w:tab w:leader="none" w:pos="580" w:val="left"/>
        </w:tabs>
        <w:numPr>
          <w:ilvl w:val="0"/>
          <w:numId w:val="20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fair value of financial instruments traded in active markets is based on quoted market prices at the end of the reporting period. The quoted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price used for financial assets is the current bid price.</w:t>
      </w:r>
    </w:p>
    <w:p>
      <w:pPr>
        <w:ind w:left="580" w:right="20" w:hanging="248"/>
        <w:spacing w:after="0" w:line="250" w:lineRule="auto"/>
        <w:tabs>
          <w:tab w:leader="none" w:pos="580" w:val="left"/>
        </w:tabs>
        <w:numPr>
          <w:ilvl w:val="0"/>
          <w:numId w:val="20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fair value of financial instruments that are not traded in an active market is determined using valuation techniques which maximize the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observable market data and rely as little as possible on entity specific estimates. If all significant inputs required to fair value an instrument are observable, the instrument is included in level 2.</w:t>
      </w:r>
    </w:p>
    <w:p>
      <w:pPr>
        <w:spacing w:after="0" w:line="1" w:lineRule="exact"/>
        <w:rPr>
          <w:rFonts w:ascii="Times New Roman" w:cs="Times New Roman" w:eastAsia="Times New Roman" w:hAnsi="Times New Roman"/>
          <w:sz w:val="18"/>
          <w:szCs w:val="18"/>
          <w:color w:val="0A2E94"/>
        </w:rPr>
      </w:pPr>
    </w:p>
    <w:p>
      <w:pPr>
        <w:ind w:left="580" w:hanging="248"/>
        <w:spacing w:after="0"/>
        <w:tabs>
          <w:tab w:leader="none" w:pos="580" w:val="left"/>
        </w:tabs>
        <w:numPr>
          <w:ilvl w:val="0"/>
          <w:numId w:val="203"/>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if one or more of the significant inputs is not based on observable market data, the instrument is included in level 3.</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There were no transfers between level 1, 2 and 3 for recurring fair value measurements during the year. The Group’s policy is to recognize transfers into and transfers out of fair value hierarchy levels at the end of the reporting period. Certain judgements and estimates are made in determining the fair values of the financial instruments that are recognized and measured at fair value in the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2.28.Key judgements and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process of applying the Group’s accounting policies, a number of judgements and estimates of future events are required.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R&amp;D expenditure</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Group is required to estimate its accrued expenses at each reporting date, which involves reviewing open contracts and purchase orders, communicating with program directors and managers to identify services that have already been performed, estimating the level of services performed with associated costs incurred for the service for which the Group has not yet been invoiced, or otherwise notified of the actual cost. The majority of service providers invoice the Group monthly in arrears for services performed or when contractual milestones are met. The Group estimates accrued expenses at each reporting date based on facts and circumstances known at that time. The Group periodically confirms the accuracy of estimates with the service providers and makes adjustments if necessary. Examples of estimated accrued expenses include fees paid to:</w:t>
      </w:r>
    </w:p>
    <w:p>
      <w:pPr>
        <w:spacing w:after="0" w:line="187" w:lineRule="exact"/>
        <w:rPr>
          <w:sz w:val="20"/>
          <w:szCs w:val="20"/>
          <w:color w:val="auto"/>
        </w:rPr>
      </w:pPr>
    </w:p>
    <w:p>
      <w:pPr>
        <w:ind w:left="380" w:hanging="372"/>
        <w:spacing w:after="0"/>
        <w:tabs>
          <w:tab w:leader="none" w:pos="380" w:val="left"/>
        </w:tabs>
        <w:numPr>
          <w:ilvl w:val="0"/>
          <w:numId w:val="20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Contract Research Organizations (CROs) in connection with clinical studies</w:t>
      </w:r>
    </w:p>
    <w:p>
      <w:pPr>
        <w:spacing w:after="0" w:line="27" w:lineRule="exact"/>
        <w:rPr>
          <w:rFonts w:ascii="Times New Roman" w:cs="Times New Roman" w:eastAsia="Times New Roman" w:hAnsi="Times New Roman"/>
          <w:sz w:val="18"/>
          <w:szCs w:val="18"/>
          <w:color w:val="0A2E94"/>
        </w:rPr>
      </w:pPr>
    </w:p>
    <w:p>
      <w:pPr>
        <w:ind w:left="380" w:hanging="372"/>
        <w:spacing w:after="0"/>
        <w:tabs>
          <w:tab w:leader="none" w:pos="380" w:val="left"/>
        </w:tabs>
        <w:numPr>
          <w:ilvl w:val="0"/>
          <w:numId w:val="20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investigative sites in connection with clinical studies</w:t>
      </w:r>
    </w:p>
    <w:p>
      <w:pPr>
        <w:spacing w:after="0" w:line="9" w:lineRule="exact"/>
        <w:rPr>
          <w:rFonts w:ascii="Times New Roman" w:cs="Times New Roman" w:eastAsia="Times New Roman" w:hAnsi="Times New Roman"/>
          <w:sz w:val="18"/>
          <w:szCs w:val="18"/>
          <w:color w:val="0A2E94"/>
        </w:rPr>
      </w:pPr>
    </w:p>
    <w:p>
      <w:pPr>
        <w:ind w:left="380" w:hanging="372"/>
        <w:spacing w:after="0"/>
        <w:tabs>
          <w:tab w:leader="none" w:pos="380" w:val="left"/>
        </w:tabs>
        <w:numPr>
          <w:ilvl w:val="0"/>
          <w:numId w:val="20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vendors in connection with preclinical development activities, and</w:t>
      </w:r>
    </w:p>
    <w:p>
      <w:pPr>
        <w:spacing w:after="0" w:line="9" w:lineRule="exact"/>
        <w:rPr>
          <w:rFonts w:ascii="Times New Roman" w:cs="Times New Roman" w:eastAsia="Times New Roman" w:hAnsi="Times New Roman"/>
          <w:sz w:val="18"/>
          <w:szCs w:val="18"/>
          <w:color w:val="0A2E94"/>
        </w:rPr>
      </w:pPr>
    </w:p>
    <w:p>
      <w:pPr>
        <w:ind w:left="380" w:right="140" w:hanging="372"/>
        <w:spacing w:after="0" w:line="260" w:lineRule="auto"/>
        <w:tabs>
          <w:tab w:leader="none" w:pos="380" w:val="left"/>
        </w:tabs>
        <w:numPr>
          <w:ilvl w:val="0"/>
          <w:numId w:val="204"/>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vendors related to product manufacturing, process development and distribution of clinical supplies, all of which are in connection with products for use in clinical trials.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assessment – carrying value of goodwill and intangible assets</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assessment of impairment of the goodwill and intangible assets has required estimates and judgements to be made. The inputs for these have been outlined in note 20.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 and decommissioning liabilities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Group has identified the contingent consideration and decommissioning liabilities as balances requiring estimates and significant judgements. These estimates and judgements have been outlined in note 26 and note 27.</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380" w:hanging="372"/>
        <w:spacing w:after="0"/>
        <w:tabs>
          <w:tab w:leader="none" w:pos="3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operations in the Americas, Asia Pacific, and Europe, Middle East and Africa regions.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segments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Following the strategic priority reorganization announcement in August 2024 the Group has presented three reportable segments. The reorganization reflects the Group’s focus as a therapeutics-led radiopharmaceutical company committed to precision oncology. As a result, the prior period segment information has been retrospectively revised to reflect the current segment presentation. There is no change to the total revenue or profit/(loss) after tax of the Group.</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Group’s operating segments are based on the reports reviewed by the Group Chief Executive Officer who is considered to be the chief operating decision maker.</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Segment performance is evaluated based on Adjusted earnings before interest, tax, depreciation and amortization (Adjusted EBITDA). Adjusted EBITDA excludes the effects of the remeasurement of contingent consideration and government grant liabilities and other income and expenses which may have an impact on the quality of earnings such as impairments where the impairment is the result of an isolated, non-recurring event. Interest income and treasury related finance costs are not allocated to segments as this activity is managed by a central treasury function, which manages the cash position of the Group.</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Segment assets and liabilities are measured in the same way as in the financial statements. The assets and liabilities are allocated based on the operations of the segment.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Reportable segment</w:t>
            </w:r>
          </w:p>
        </w:tc>
        <w:tc>
          <w:tcPr>
            <w:tcW w:w="78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Principal activities</w:t>
            </w:r>
          </w:p>
        </w:tc>
      </w:tr>
      <w:tr>
        <w:trPr>
          <w:trHeight w:val="216"/>
        </w:trPr>
        <w:tc>
          <w:tcPr>
            <w:tcW w:w="340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Precision Medicine</w:t>
            </w:r>
          </w:p>
        </w:tc>
        <w:tc>
          <w:tcPr>
            <w:tcW w:w="78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sales of Illuccix and other diagnostic products subsequent to obtaining regulatory approvals.</w:t>
            </w:r>
          </w:p>
        </w:tc>
      </w:tr>
      <w:tr>
        <w:trPr>
          <w:trHeight w:val="203"/>
        </w:trPr>
        <w:tc>
          <w:tcPr>
            <w:tcW w:w="3400" w:type="dxa"/>
            <w:vAlign w:val="bottom"/>
            <w:tcBorders>
              <w:right w:val="single" w:sz="8" w:color="auto"/>
            </w:tcBorders>
            <w:shd w:val="clear" w:color="auto" w:fill="CCEEFF"/>
          </w:tcPr>
          <w:p>
            <w:pPr>
              <w:spacing w:after="0"/>
              <w:rPr>
                <w:sz w:val="17"/>
                <w:szCs w:val="17"/>
                <w:color w:val="auto"/>
              </w:rPr>
            </w:pPr>
          </w:p>
        </w:tc>
        <w:tc>
          <w:tcPr>
            <w:tcW w:w="622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This segment includes the development activities of the Group’s diagnostic pipeline.</w:t>
            </w:r>
          </w:p>
        </w:tc>
        <w:tc>
          <w:tcPr>
            <w:tcW w:w="9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6"/>
                <w:shd w:val="clear" w:color="auto" w:fill="CCEEFF"/>
              </w:rPr>
              <w:t>The Group’s</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16"/>
        </w:trPr>
        <w:tc>
          <w:tcPr>
            <w:tcW w:w="3400" w:type="dxa"/>
            <w:vAlign w:val="bottom"/>
            <w:tcBorders>
              <w:right w:val="single" w:sz="8" w:color="auto"/>
            </w:tcBorders>
            <w:shd w:val="clear" w:color="auto" w:fill="CCEEFF"/>
          </w:tcPr>
          <w:p>
            <w:pPr>
              <w:spacing w:after="0"/>
              <w:rPr>
                <w:sz w:val="18"/>
                <w:szCs w:val="18"/>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shd w:val="clear" w:color="auto" w:fill="CCEEFF"/>
              </w:rPr>
              <w:t>International and Medical Technologies businesses are operating segments that are</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78"/>
                <w:shd w:val="clear" w:color="auto" w:fill="CCEEFF"/>
              </w:rPr>
              <w:t>included within</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0"/>
                <w:shd w:val="clear" w:color="auto" w:fill="CCEEFF"/>
              </w:rPr>
              <w:t>the</w:t>
            </w:r>
          </w:p>
        </w:tc>
        <w:tc>
          <w:tcPr>
            <w:tcW w:w="360" w:type="dxa"/>
            <w:vAlign w:val="bottom"/>
            <w:shd w:val="clear" w:color="auto" w:fill="CCEEFF"/>
          </w:tcPr>
          <w:p>
            <w:pPr>
              <w:spacing w:after="0"/>
              <w:rPr>
                <w:sz w:val="18"/>
                <w:szCs w:val="18"/>
                <w:color w:val="auto"/>
              </w:rPr>
            </w:pPr>
          </w:p>
        </w:tc>
      </w:tr>
      <w:tr>
        <w:trPr>
          <w:trHeight w:val="216"/>
        </w:trPr>
        <w:tc>
          <w:tcPr>
            <w:tcW w:w="3400" w:type="dxa"/>
            <w:vAlign w:val="bottom"/>
            <w:tcBorders>
              <w:right w:val="single" w:sz="8" w:color="auto"/>
            </w:tcBorders>
            <w:shd w:val="clear" w:color="auto" w:fill="CCEEFF"/>
          </w:tcPr>
          <w:p>
            <w:pPr>
              <w:spacing w:after="0"/>
              <w:rPr>
                <w:sz w:val="18"/>
                <w:szCs w:val="18"/>
                <w:color w:val="auto"/>
              </w:rPr>
            </w:pPr>
          </w:p>
        </w:tc>
        <w:tc>
          <w:tcPr>
            <w:tcW w:w="7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shd w:val="clear" w:color="auto" w:fill="CCEEFF"/>
              </w:rPr>
              <w:t>Precision Medicine reportable segment due to the similar nature of the diagnostic products being sold</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or</w:t>
            </w:r>
          </w:p>
        </w:tc>
      </w:tr>
      <w:tr>
        <w:trPr>
          <w:trHeight w:val="237"/>
        </w:trPr>
        <w:tc>
          <w:tcPr>
            <w:tcW w:w="3400" w:type="dxa"/>
            <w:vAlign w:val="bottom"/>
            <w:tcBorders>
              <w:bottom w:val="single" w:sz="8" w:color="auto"/>
              <w:right w:val="single" w:sz="8" w:color="auto"/>
            </w:tcBorders>
            <w:shd w:val="clear" w:color="auto" w:fill="CCEEFF"/>
          </w:tcPr>
          <w:p>
            <w:pPr>
              <w:spacing w:after="0"/>
              <w:rPr>
                <w:sz w:val="20"/>
                <w:szCs w:val="20"/>
                <w:color w:val="auto"/>
              </w:rPr>
            </w:pPr>
          </w:p>
        </w:tc>
        <w:tc>
          <w:tcPr>
            <w:tcW w:w="62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shd w:val="clear" w:color="auto" w:fill="CCEEFF"/>
              </w:rPr>
              <w:t>developed for commercialization.</w:t>
            </w:r>
          </w:p>
        </w:tc>
        <w:tc>
          <w:tcPr>
            <w:tcW w:w="1620" w:type="dxa"/>
            <w:vAlign w:val="bottom"/>
            <w:tcBorders>
              <w:bottom w:val="single" w:sz="8" w:color="auto"/>
            </w:tcBorders>
            <w:gridSpan w:val="3"/>
            <w:shd w:val="clear" w:color="auto" w:fill="CCEEFF"/>
          </w:tcPr>
          <w:p>
            <w:pPr>
              <w:spacing w:after="0"/>
              <w:rPr>
                <w:sz w:val="20"/>
                <w:szCs w:val="20"/>
                <w:color w:val="auto"/>
              </w:rPr>
            </w:pPr>
          </w:p>
        </w:tc>
      </w:tr>
      <w:tr>
        <w:trPr>
          <w:trHeight w:val="198"/>
        </w:trPr>
        <w:tc>
          <w:tcPr>
            <w:tcW w:w="340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Therapeutics</w:t>
            </w:r>
          </w:p>
        </w:tc>
        <w:tc>
          <w:tcPr>
            <w:tcW w:w="7840" w:type="dxa"/>
            <w:vAlign w:val="bottom"/>
            <w:gridSpan w:val="4"/>
          </w:tcPr>
          <w:p>
            <w:pPr>
              <w:ind w:left="100"/>
              <w:spacing w:after="0" w:line="198" w:lineRule="exact"/>
              <w:rPr>
                <w:sz w:val="20"/>
                <w:szCs w:val="20"/>
                <w:color w:val="auto"/>
              </w:rPr>
            </w:pPr>
            <w:r>
              <w:rPr>
                <w:rFonts w:ascii="Times New Roman" w:cs="Times New Roman" w:eastAsia="Times New Roman" w:hAnsi="Times New Roman"/>
                <w:sz w:val="18"/>
                <w:szCs w:val="18"/>
                <w:color w:val="auto"/>
              </w:rPr>
              <w:t>Developing the Group’s core therapeutic pipeline for commercialization. This segment includes revenue</w:t>
            </w:r>
          </w:p>
        </w:tc>
      </w:tr>
      <w:tr>
        <w:trPr>
          <w:trHeight w:val="216"/>
        </w:trPr>
        <w:tc>
          <w:tcPr>
            <w:tcW w:w="3400" w:type="dxa"/>
            <w:vAlign w:val="bottom"/>
            <w:tcBorders>
              <w:right w:val="single" w:sz="8" w:color="auto"/>
            </w:tcBorders>
          </w:tcPr>
          <w:p>
            <w:pPr>
              <w:spacing w:after="0"/>
              <w:rPr>
                <w:sz w:val="18"/>
                <w:szCs w:val="18"/>
                <w:color w:val="auto"/>
              </w:rPr>
            </w:pPr>
          </w:p>
        </w:tc>
        <w:tc>
          <w:tcPr>
            <w:tcW w:w="78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received from license agreements prior to commercialization and research and development services. This</w:t>
            </w:r>
          </w:p>
        </w:tc>
      </w:tr>
      <w:tr>
        <w:trPr>
          <w:trHeight w:val="241"/>
        </w:trPr>
        <w:tc>
          <w:tcPr>
            <w:tcW w:w="3400" w:type="dxa"/>
            <w:vAlign w:val="bottom"/>
            <w:tcBorders>
              <w:bottom w:val="single" w:sz="8" w:color="auto"/>
              <w:right w:val="single" w:sz="8" w:color="auto"/>
            </w:tcBorders>
          </w:tcPr>
          <w:p>
            <w:pPr>
              <w:spacing w:after="0"/>
              <w:rPr>
                <w:sz w:val="20"/>
                <w:szCs w:val="20"/>
                <w:color w:val="auto"/>
              </w:rPr>
            </w:pPr>
          </w:p>
        </w:tc>
        <w:tc>
          <w:tcPr>
            <w:tcW w:w="78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segment includes the development activities of the Group’s therapeutic pipeline.</w:t>
            </w:r>
          </w:p>
        </w:tc>
      </w:tr>
      <w:tr>
        <w:trPr>
          <w:trHeight w:val="198"/>
        </w:trPr>
        <w:tc>
          <w:tcPr>
            <w:tcW w:w="3400" w:type="dxa"/>
            <w:vAlign w:val="bottom"/>
            <w:tcBorders>
              <w:right w:val="single" w:sz="8" w:color="auto"/>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Manufacturing Solutions</w:t>
            </w:r>
          </w:p>
        </w:tc>
        <w:tc>
          <w:tcPr>
            <w:tcW w:w="7840" w:type="dxa"/>
            <w:vAlign w:val="bottom"/>
            <w:gridSpan w:val="4"/>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Telix Manufacturing Solutions business. This segment comprises costs to operate our facilities and assets</w:t>
            </w:r>
          </w:p>
        </w:tc>
      </w:tr>
      <w:tr>
        <w:trPr>
          <w:trHeight w:val="216"/>
        </w:trPr>
        <w:tc>
          <w:tcPr>
            <w:tcW w:w="3400" w:type="dxa"/>
            <w:vAlign w:val="bottom"/>
            <w:tcBorders>
              <w:right w:val="single" w:sz="8" w:color="auto"/>
            </w:tcBorders>
            <w:shd w:val="clear" w:color="auto" w:fill="CCEEFF"/>
          </w:tcPr>
          <w:p>
            <w:pPr>
              <w:spacing w:after="0"/>
              <w:rPr>
                <w:sz w:val="18"/>
                <w:szCs w:val="18"/>
                <w:color w:val="auto"/>
              </w:rPr>
            </w:pPr>
          </w:p>
        </w:tc>
        <w:tc>
          <w:tcPr>
            <w:tcW w:w="78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associated with the Group’s vertically integrated manufacturing and supply chain. This business includes</w:t>
            </w:r>
          </w:p>
        </w:tc>
      </w:tr>
      <w:tr>
        <w:trPr>
          <w:trHeight w:val="241"/>
        </w:trPr>
        <w:tc>
          <w:tcPr>
            <w:tcW w:w="3400" w:type="dxa"/>
            <w:vAlign w:val="bottom"/>
            <w:tcBorders>
              <w:bottom w:val="single" w:sz="8" w:color="auto"/>
              <w:right w:val="single" w:sz="8" w:color="auto"/>
            </w:tcBorders>
            <w:shd w:val="clear" w:color="auto" w:fill="CCEEFF"/>
          </w:tcPr>
          <w:p>
            <w:pPr>
              <w:spacing w:after="0"/>
              <w:rPr>
                <w:sz w:val="20"/>
                <w:szCs w:val="20"/>
                <w:color w:val="auto"/>
              </w:rPr>
            </w:pPr>
          </w:p>
        </w:tc>
        <w:tc>
          <w:tcPr>
            <w:tcW w:w="7840" w:type="dxa"/>
            <w:vAlign w:val="bottom"/>
            <w:tcBorders>
              <w:bottom w:val="single" w:sz="8" w:color="auto"/>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facilities at Brussels South, IsoTherapeutics, Optimal Tracers and ARTMS.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Reconciling items includes head office and centrally managed costs.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 Segment performance</w:t>
            </w: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Precision</w:t>
            </w: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Therapeutics</w:t>
            </w:r>
          </w:p>
        </w:tc>
        <w:tc>
          <w:tcPr>
            <w:tcW w:w="20" w:type="dxa"/>
            <w:vAlign w:val="bottom"/>
          </w:tcPr>
          <w:p>
            <w:pPr>
              <w:spacing w:after="0"/>
              <w:rPr>
                <w:sz w:val="18"/>
                <w:szCs w:val="18"/>
                <w:color w:val="auto"/>
              </w:rPr>
            </w:pPr>
          </w:p>
        </w:tc>
        <w:tc>
          <w:tcPr>
            <w:tcW w:w="1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6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Medicine</w:t>
            </w: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438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48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771,106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9,351</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783,207</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(270,821)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(273,529)</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8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500,285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9,351</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509,678</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4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(111,348)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(82,582)</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(194,637)</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48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(84,562)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(85,473)</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Manufacturing and distribution costs</w:t>
            </w:r>
          </w:p>
        </w:tc>
        <w:tc>
          <w:tcPr>
            <w:tcW w:w="4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(25,731)</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administration costs</w:t>
            </w:r>
          </w:p>
        </w:tc>
        <w:tc>
          <w:tcPr>
            <w:tcW w:w="48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(48,693)</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losses (net)</w:t>
            </w:r>
          </w:p>
        </w:tc>
        <w:tc>
          <w:tcPr>
            <w:tcW w:w="4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48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244,859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(73,463)</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(25,038)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146,358</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losses (net)</w:t>
            </w:r>
          </w:p>
        </w:tc>
        <w:tc>
          <w:tcPr>
            <w:tcW w:w="4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8,909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8,786</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6,866</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earnings before interest, tax, depreciation and amortization</w:t>
            </w:r>
          </w:p>
        </w:tc>
        <w:tc>
          <w:tcPr>
            <w:tcW w:w="4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259,341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(73,463)</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(23,868)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162,010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Precision</w:t>
            </w: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Therapeutics</w:t>
            </w:r>
          </w:p>
        </w:tc>
        <w:tc>
          <w:tcPr>
            <w:tcW w:w="20" w:type="dxa"/>
            <w:vAlign w:val="bottom"/>
          </w:tcPr>
          <w:p>
            <w:pPr>
              <w:spacing w:after="0"/>
              <w:rPr>
                <w:sz w:val="18"/>
                <w:szCs w:val="18"/>
                <w:color w:val="auto"/>
              </w:rPr>
            </w:pPr>
          </w:p>
        </w:tc>
        <w:tc>
          <w:tcPr>
            <w:tcW w:w="1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6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Medicine</w:t>
            </w: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438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48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496,738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5,391</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502,547</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(188,157)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(188,157)</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8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308,581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5,391</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314,390</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4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(80,327)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(47,566)</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(128,537)</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48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(50,109)</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Manufacturing and distribution costs</w:t>
            </w:r>
          </w:p>
        </w:tc>
        <w:tc>
          <w:tcPr>
            <w:tcW w:w="4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(9,869)</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administration costs</w:t>
            </w:r>
          </w:p>
        </w:tc>
        <w:tc>
          <w:tcPr>
            <w:tcW w:w="48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(34,622)</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losses (net)</w:t>
            </w:r>
          </w:p>
        </w:tc>
        <w:tc>
          <w:tcPr>
            <w:tcW w:w="4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(35,138)</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48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104,545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(42,496)</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56,115</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losses (net)</w:t>
            </w:r>
          </w:p>
        </w:tc>
        <w:tc>
          <w:tcPr>
            <w:tcW w:w="4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35,138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35,138</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5,787</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earnings before interest, tax, depreciation and amortization</w:t>
            </w:r>
          </w:p>
        </w:tc>
        <w:tc>
          <w:tcPr>
            <w:tcW w:w="4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145,194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(42,451)</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97,040</w:t>
            </w:r>
          </w:p>
        </w:tc>
        <w:tc>
          <w:tcPr>
            <w:tcW w:w="0" w:type="dxa"/>
            <w:vAlign w:val="bottom"/>
          </w:tcPr>
          <w:p>
            <w:pPr>
              <w:spacing w:after="0"/>
              <w:rPr>
                <w:sz w:val="1"/>
                <w:szCs w:val="1"/>
                <w:color w:val="auto"/>
              </w:rPr>
            </w:pPr>
          </w:p>
        </w:tc>
      </w:tr>
      <w:tr>
        <w:trPr>
          <w:trHeight w:val="570"/>
        </w:trPr>
        <w:tc>
          <w:tcPr>
            <w:tcW w:w="10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820" w:type="dxa"/>
            <w:vAlign w:val="bottom"/>
            <w:gridSpan w:val="2"/>
          </w:tcPr>
          <w:p>
            <w:pPr>
              <w:jc w:val="right"/>
              <w:ind w:right="1370"/>
              <w:spacing w:after="0"/>
              <w:rPr>
                <w:sz w:val="20"/>
                <w:szCs w:val="20"/>
                <w:color w:val="auto"/>
              </w:rPr>
            </w:pPr>
            <w:r>
              <w:rPr>
                <w:rFonts w:ascii="Times New Roman" w:cs="Times New Roman" w:eastAsia="Times New Roman" w:hAnsi="Times New Roman"/>
                <w:sz w:val="14"/>
                <w:szCs w:val="14"/>
                <w:color w:val="auto"/>
              </w:rPr>
              <w:t>F-27</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4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271" w:name="page272"/>
    <w:bookmarkEnd w:id="2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Borders>
              <w:top w:val="single" w:sz="8" w:color="0000EE"/>
            </w:tcBorders>
          </w:tcPr>
          <w:p>
            <w:pPr>
              <w:spacing w:after="0"/>
              <w:rPr>
                <w:sz w:val="14"/>
                <w:szCs w:val="14"/>
                <w:color w:val="auto"/>
              </w:rPr>
            </w:pPr>
          </w:p>
        </w:tc>
        <w:tc>
          <w:tcPr>
            <w:tcW w:w="4840" w:type="dxa"/>
            <w:vAlign w:val="bottom"/>
          </w:tcPr>
          <w:p>
            <w:pPr>
              <w:spacing w:after="0"/>
              <w:rPr>
                <w:sz w:val="14"/>
                <w:szCs w:val="14"/>
                <w:color w:val="auto"/>
              </w:rPr>
            </w:pPr>
          </w:p>
        </w:tc>
        <w:tc>
          <w:tcPr>
            <w:tcW w:w="160" w:type="dxa"/>
            <w:vAlign w:val="bottom"/>
            <w:vMerge w:val="restart"/>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Precision</w:t>
            </w:r>
          </w:p>
        </w:tc>
        <w:tc>
          <w:tcPr>
            <w:tcW w:w="20" w:type="dxa"/>
            <w:vAlign w:val="bottom"/>
          </w:tcPr>
          <w:p>
            <w:pPr>
              <w:spacing w:after="0"/>
              <w:rPr>
                <w:sz w:val="14"/>
                <w:szCs w:val="14"/>
                <w:color w:val="auto"/>
              </w:rPr>
            </w:pPr>
          </w:p>
        </w:tc>
        <w:tc>
          <w:tcPr>
            <w:tcW w:w="1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Therapeutics</w:t>
            </w:r>
          </w:p>
        </w:tc>
        <w:tc>
          <w:tcPr>
            <w:tcW w:w="20" w:type="dxa"/>
            <w:vAlign w:val="bottom"/>
          </w:tcPr>
          <w:p>
            <w:pPr>
              <w:spacing w:after="0"/>
              <w:rPr>
                <w:sz w:val="14"/>
                <w:szCs w:val="14"/>
                <w:color w:val="auto"/>
              </w:rPr>
            </w:pPr>
          </w:p>
        </w:tc>
        <w:tc>
          <w:tcPr>
            <w:tcW w:w="1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4840" w:type="dxa"/>
            <w:vAlign w:val="bottom"/>
            <w:tcBorders>
              <w:right w:val="single" w:sz="8" w:color="auto"/>
            </w:tcBorders>
          </w:tcPr>
          <w:p>
            <w:pPr>
              <w:spacing w:after="0"/>
              <w:rPr>
                <w:sz w:val="16"/>
                <w:szCs w:val="16"/>
                <w:color w:val="auto"/>
              </w:rPr>
            </w:pPr>
          </w:p>
        </w:tc>
        <w:tc>
          <w:tcPr>
            <w:tcW w:w="1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4840" w:type="dxa"/>
            <w:vAlign w:val="bottom"/>
            <w:tcBorders>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Medicine</w:t>
            </w:r>
          </w:p>
        </w:tc>
        <w:tc>
          <w:tcPr>
            <w:tcW w:w="20" w:type="dxa"/>
            <w:vAlign w:val="bottom"/>
            <w:tcBorders>
              <w:bottom w:val="single" w:sz="8" w:color="auto"/>
            </w:tcBorders>
            <w:shd w:val="clear" w:color="auto" w:fill="000000"/>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4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3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156,369</w:t>
            </w: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160,096</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3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91,199</w:t>
            </w: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3,727</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94,926</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(48,285)</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(32,402)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(80,687)</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3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(36,313)</w:t>
            </w: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(36,313)</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Manufacturing and distribution costs</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(1,373)</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administration costs</w:t>
            </w:r>
          </w:p>
        </w:tc>
        <w:tc>
          <w:tcPr>
            <w:tcW w:w="13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(23,807)</w:t>
            </w: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(775)</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(24,582)</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losses (net)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(17,496)</w:t>
            </w: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(17,486)</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13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(37,266)</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(28,677)</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(2,148)</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(68,091)</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losses (net)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17,496</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17,486</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earnings before interest, tax, depreciation and amortization</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(15,091)</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(28,647)</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(2,127)</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(45,865)</w:t>
            </w:r>
          </w:p>
        </w:tc>
        <w:tc>
          <w:tcPr>
            <w:tcW w:w="0" w:type="dxa"/>
            <w:vAlign w:val="bottom"/>
          </w:tcPr>
          <w:p>
            <w:pPr>
              <w:spacing w:after="0"/>
              <w:rPr>
                <w:sz w:val="1"/>
                <w:szCs w:val="1"/>
                <w:color w:val="auto"/>
              </w:rPr>
            </w:pPr>
          </w:p>
        </w:tc>
      </w:tr>
      <w:tr>
        <w:trPr>
          <w:trHeight w:val="432"/>
        </w:trPr>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3.2. Reconciliation of total segment adjusted EBITDA to profit/(loss) before income tax</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3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484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segment adjusted EBITDA</w:t>
            </w:r>
          </w:p>
        </w:tc>
        <w:tc>
          <w:tcPr>
            <w:tcW w:w="160" w:type="dxa"/>
            <w:vAlign w:val="bottom"/>
            <w:tcBorders>
              <w:bottom w:val="single" w:sz="8" w:color="auto"/>
              <w:right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162,010</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97,040</w:t>
            </w:r>
          </w:p>
        </w:tc>
        <w:tc>
          <w:tcPr>
            <w:tcW w:w="4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(45,865)</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income, expenses and eliminations:</w:t>
            </w:r>
          </w:p>
        </w:tc>
        <w:tc>
          <w:tcPr>
            <w:tcW w:w="1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administration costs</w:t>
            </w:r>
          </w:p>
        </w:tc>
        <w:tc>
          <w:tcPr>
            <w:tcW w:w="160" w:type="dxa"/>
            <w:vAlign w:val="bottom"/>
            <w:tcBorders>
              <w:bottom w:val="single" w:sz="8" w:color="auto"/>
              <w:right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(81,137)</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(39,559)</w:t>
            </w:r>
          </w:p>
        </w:tc>
        <w:tc>
          <w:tcPr>
            <w:tcW w:w="4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(22,574)</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gains/(losses) (net)</w:t>
            </w:r>
          </w:p>
        </w:tc>
        <w:tc>
          <w:tcPr>
            <w:tcW w:w="1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9</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(35,854)</w:t>
            </w:r>
          </w:p>
        </w:tc>
        <w:tc>
          <w:tcPr>
            <w:tcW w:w="4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(18,751)</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60" w:type="dxa"/>
            <w:vAlign w:val="bottom"/>
            <w:tcBorders>
              <w:bottom w:val="single" w:sz="8" w:color="auto"/>
              <w:right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4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(36,936)</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4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right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4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1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56,056</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3,087</w:t>
            </w:r>
          </w:p>
        </w:tc>
        <w:tc>
          <w:tcPr>
            <w:tcW w:w="4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(98,622)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General and administration costs predominantly comprise of employment costs of $39,136,000 (2023: $21,949,000 2022: $14,341,000) and other centrally managed IT, legal and other corporate costs.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General and administration costs were particularly affected by the costs associated with our secondary listing on the Nasdaq of $9,077,000 and transaction expenses related to the acquisitions of QSAM, ARTMS and IsoTherapeutics of $8,177,000.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 Operating segment assets and liabilities</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Precision</w:t>
            </w:r>
          </w:p>
        </w:tc>
        <w:tc>
          <w:tcPr>
            <w:tcW w:w="20" w:type="dxa"/>
            <w:vAlign w:val="bottom"/>
          </w:tcPr>
          <w:p>
            <w:pPr>
              <w:spacing w:after="0"/>
              <w:rPr>
                <w:sz w:val="18"/>
                <w:szCs w:val="18"/>
                <w:color w:val="auto"/>
              </w:rPr>
            </w:pPr>
          </w:p>
        </w:tc>
        <w:tc>
          <w:tcPr>
            <w:tcW w:w="13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Therapeutics</w:t>
            </w:r>
          </w:p>
        </w:tc>
        <w:tc>
          <w:tcPr>
            <w:tcW w:w="20" w:type="dxa"/>
            <w:vAlign w:val="bottom"/>
          </w:tcPr>
          <w:p>
            <w:pPr>
              <w:spacing w:after="0"/>
              <w:rPr>
                <w:sz w:val="18"/>
                <w:szCs w:val="18"/>
                <w:color w:val="auto"/>
              </w:rPr>
            </w:pPr>
          </w:p>
        </w:tc>
        <w:tc>
          <w:tcPr>
            <w:tcW w:w="1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20" w:type="dxa"/>
            <w:vAlign w:val="bottom"/>
          </w:tcPr>
          <w:p>
            <w:pPr>
              <w:spacing w:after="0"/>
              <w:rPr>
                <w:sz w:val="18"/>
                <w:szCs w:val="18"/>
                <w:color w:val="auto"/>
              </w:rPr>
            </w:pPr>
          </w:p>
        </w:tc>
        <w:tc>
          <w:tcPr>
            <w:tcW w:w="1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8"/>
                <w:szCs w:val="18"/>
                <w:color w:val="auto"/>
              </w:rPr>
            </w:pPr>
          </w:p>
        </w:tc>
        <w:tc>
          <w:tcPr>
            <w:tcW w:w="1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Reconciling</w:t>
            </w: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0" w:type="dxa"/>
            <w:vAlign w:val="bottom"/>
          </w:tcPr>
          <w:p>
            <w:pPr>
              <w:spacing w:after="0"/>
              <w:rPr>
                <w:sz w:val="1"/>
                <w:szCs w:val="1"/>
                <w:color w:val="auto"/>
              </w:rPr>
            </w:pPr>
          </w:p>
        </w:tc>
      </w:tr>
      <w:tr>
        <w:trPr>
          <w:trHeight w:val="194"/>
        </w:trPr>
        <w:tc>
          <w:tcPr>
            <w:tcW w:w="31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6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18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Medicine</w:t>
            </w:r>
          </w:p>
        </w:tc>
        <w:tc>
          <w:tcPr>
            <w:tcW w:w="20" w:type="dxa"/>
            <w:vAlign w:val="bottom"/>
            <w:shd w:val="clear" w:color="auto" w:fill="000000"/>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3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0" w:type="dxa"/>
            <w:vAlign w:val="bottom"/>
            <w:shd w:val="clear" w:color="auto" w:fill="000000"/>
          </w:tcPr>
          <w:p>
            <w:pPr>
              <w:spacing w:after="0"/>
              <w:rPr>
                <w:sz w:val="11"/>
                <w:szCs w:val="11"/>
                <w:color w:val="auto"/>
              </w:rPr>
            </w:pPr>
          </w:p>
        </w:tc>
        <w:tc>
          <w:tcPr>
            <w:tcW w:w="1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20" w:type="dxa"/>
            <w:vAlign w:val="bottom"/>
            <w:shd w:val="clear" w:color="auto" w:fill="000000"/>
          </w:tcPr>
          <w:p>
            <w:pPr>
              <w:spacing w:after="0"/>
              <w:rPr>
                <w:sz w:val="11"/>
                <w:szCs w:val="11"/>
                <w:color w:val="auto"/>
              </w:rPr>
            </w:pPr>
          </w:p>
        </w:tc>
        <w:tc>
          <w:tcPr>
            <w:tcW w:w="1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20" w:type="dxa"/>
            <w:vAlign w:val="bottom"/>
            <w:shd w:val="clear" w:color="auto" w:fill="000000"/>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180" w:type="dxa"/>
            <w:vAlign w:val="bottom"/>
            <w:tcBorders>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36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30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30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479,764</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216,123</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222,208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918,095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598,336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1,516,431</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240,618</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16,869</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86,377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343,864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604,354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948,218</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Additions to non-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2,427</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139,876</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168,534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310,837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311,350</w:t>
            </w:r>
          </w:p>
        </w:tc>
        <w:tc>
          <w:tcPr>
            <w:tcW w:w="0" w:type="dxa"/>
            <w:vAlign w:val="bottom"/>
          </w:tcPr>
          <w:p>
            <w:pPr>
              <w:spacing w:after="0"/>
              <w:rPr>
                <w:sz w:val="1"/>
                <w:szCs w:val="1"/>
                <w:color w:val="auto"/>
              </w:rPr>
            </w:pPr>
          </w:p>
        </w:tc>
      </w:tr>
      <w:tr>
        <w:trPr>
          <w:trHeight w:val="571"/>
        </w:trPr>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F-28</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272" w:name="page273"/>
    <w:bookmarkEnd w:id="2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Borders>
              <w:top w:val="single" w:sz="8" w:color="0000EE"/>
            </w:tcBorders>
          </w:tcPr>
          <w:p>
            <w:pPr>
              <w:spacing w:after="0"/>
              <w:rPr>
                <w:sz w:val="14"/>
                <w:szCs w:val="14"/>
                <w:color w:val="auto"/>
              </w:rPr>
            </w:pPr>
          </w:p>
        </w:tc>
        <w:tc>
          <w:tcPr>
            <w:tcW w:w="2160" w:type="dxa"/>
            <w:vAlign w:val="bottom"/>
          </w:tcPr>
          <w:p>
            <w:pPr>
              <w:spacing w:after="0"/>
              <w:rPr>
                <w:sz w:val="14"/>
                <w:szCs w:val="14"/>
                <w:color w:val="auto"/>
              </w:rPr>
            </w:pPr>
          </w:p>
        </w:tc>
        <w:tc>
          <w:tcPr>
            <w:tcW w:w="1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Precision</w:t>
            </w:r>
          </w:p>
        </w:tc>
        <w:tc>
          <w:tcPr>
            <w:tcW w:w="20" w:type="dxa"/>
            <w:vAlign w:val="bottom"/>
          </w:tcPr>
          <w:p>
            <w:pPr>
              <w:spacing w:after="0"/>
              <w:rPr>
                <w:sz w:val="14"/>
                <w:szCs w:val="14"/>
                <w:color w:val="auto"/>
              </w:rPr>
            </w:pPr>
          </w:p>
        </w:tc>
        <w:tc>
          <w:tcPr>
            <w:tcW w:w="1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Therapeutics</w:t>
            </w:r>
          </w:p>
        </w:tc>
        <w:tc>
          <w:tcPr>
            <w:tcW w:w="20" w:type="dxa"/>
            <w:vAlign w:val="bottom"/>
          </w:tcPr>
          <w:p>
            <w:pPr>
              <w:spacing w:after="0"/>
              <w:rPr>
                <w:sz w:val="14"/>
                <w:szCs w:val="14"/>
                <w:color w:val="auto"/>
              </w:rPr>
            </w:pPr>
          </w:p>
        </w:tc>
        <w:tc>
          <w:tcPr>
            <w:tcW w:w="1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20" w:type="dxa"/>
            <w:vAlign w:val="bottom"/>
          </w:tcPr>
          <w:p>
            <w:pPr>
              <w:spacing w:after="0"/>
              <w:rPr>
                <w:sz w:val="14"/>
                <w:szCs w:val="14"/>
                <w:color w:val="auto"/>
              </w:rPr>
            </w:pPr>
          </w:p>
        </w:tc>
        <w:tc>
          <w:tcPr>
            <w:tcW w:w="1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4"/>
                <w:szCs w:val="14"/>
                <w:color w:val="auto"/>
              </w:rPr>
            </w:pPr>
          </w:p>
        </w:tc>
        <w:tc>
          <w:tcPr>
            <w:tcW w:w="1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Reconciling</w:t>
            </w:r>
          </w:p>
        </w:tc>
        <w:tc>
          <w:tcPr>
            <w:tcW w:w="20" w:type="dxa"/>
            <w:vAlign w:val="bottom"/>
          </w:tcPr>
          <w:p>
            <w:pPr>
              <w:spacing w:after="0"/>
              <w:rPr>
                <w:sz w:val="14"/>
                <w:szCs w:val="14"/>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36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6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020" w:type="dxa"/>
            <w:vAlign w:val="bottom"/>
          </w:tcPr>
          <w:p>
            <w:pPr>
              <w:spacing w:after="0"/>
              <w:rPr>
                <w:sz w:val="11"/>
                <w:szCs w:val="11"/>
                <w:color w:val="auto"/>
              </w:rPr>
            </w:pPr>
          </w:p>
        </w:tc>
        <w:tc>
          <w:tcPr>
            <w:tcW w:w="2160" w:type="dxa"/>
            <w:vAlign w:val="bottom"/>
            <w:tcBorders>
              <w:right w:val="single" w:sz="8" w:color="auto"/>
            </w:tcBorders>
          </w:tcPr>
          <w:p>
            <w:pPr>
              <w:spacing w:after="0"/>
              <w:rPr>
                <w:sz w:val="11"/>
                <w:szCs w:val="11"/>
                <w:color w:val="auto"/>
              </w:rPr>
            </w:pPr>
          </w:p>
        </w:tc>
        <w:tc>
          <w:tcPr>
            <w:tcW w:w="1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Medicine</w:t>
            </w:r>
          </w:p>
        </w:tc>
        <w:tc>
          <w:tcPr>
            <w:tcW w:w="20" w:type="dxa"/>
            <w:vAlign w:val="bottom"/>
            <w:shd w:val="clear" w:color="auto" w:fill="000000"/>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3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0" w:type="dxa"/>
            <w:vAlign w:val="bottom"/>
            <w:shd w:val="clear" w:color="auto" w:fill="000000"/>
          </w:tcPr>
          <w:p>
            <w:pPr>
              <w:spacing w:after="0"/>
              <w:rPr>
                <w:sz w:val="11"/>
                <w:szCs w:val="11"/>
                <w:color w:val="auto"/>
              </w:rPr>
            </w:pPr>
          </w:p>
        </w:tc>
        <w:tc>
          <w:tcPr>
            <w:tcW w:w="1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20" w:type="dxa"/>
            <w:vAlign w:val="bottom"/>
            <w:shd w:val="clear" w:color="auto" w:fill="000000"/>
          </w:tcPr>
          <w:p>
            <w:pPr>
              <w:spacing w:after="0"/>
              <w:rPr>
                <w:sz w:val="11"/>
                <w:szCs w:val="11"/>
                <w:color w:val="auto"/>
              </w:rPr>
            </w:pPr>
          </w:p>
        </w:tc>
        <w:tc>
          <w:tcPr>
            <w:tcW w:w="1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20" w:type="dxa"/>
            <w:vAlign w:val="bottom"/>
            <w:shd w:val="clear" w:color="auto" w:fill="000000"/>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36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36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30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30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1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216,180</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41,917</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36,835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294,932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111,026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405,958</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180,379</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18,709</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20,172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219,260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37,787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257,047</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Additions to non-current assets</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66,321</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5,116</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71,437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71,437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Reconciling items primarily comprise cash and cash equivalents held centrally $526,974,000 (2023: $68,768,000), investments in financial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$56,093,000 (2023: $12,260,000), property, plant and equipment $1,750,000 (2023: $3,942,000), borrowings (convertible bonds) $555,557,000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$nil) which are managed centrally.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3.4. Geographical information</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8"/>
                <w:szCs w:val="18"/>
                <w:color w:val="auto"/>
              </w:rPr>
            </w:pPr>
          </w:p>
        </w:tc>
        <w:tc>
          <w:tcPr>
            <w:tcW w:w="1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540" w:type="dxa"/>
            <w:vAlign w:val="bottom"/>
            <w:tcBorders>
              <w:righ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Non-current</w:t>
            </w:r>
          </w:p>
        </w:tc>
        <w:tc>
          <w:tcPr>
            <w:tcW w:w="20" w:type="dxa"/>
            <w:vAlign w:val="bottom"/>
            <w:shd w:val="clear" w:color="auto" w:fill="000000"/>
          </w:tcPr>
          <w:p>
            <w:pPr>
              <w:spacing w:after="0"/>
              <w:rPr>
                <w:sz w:val="16"/>
                <w:szCs w:val="16"/>
                <w:color w:val="auto"/>
              </w:rPr>
            </w:pPr>
          </w:p>
        </w:tc>
        <w:tc>
          <w:tcPr>
            <w:tcW w:w="130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Non-current</w:t>
            </w:r>
          </w:p>
        </w:tc>
        <w:tc>
          <w:tcPr>
            <w:tcW w:w="0" w:type="dxa"/>
            <w:vAlign w:val="bottom"/>
          </w:tcPr>
          <w:p>
            <w:pPr>
              <w:spacing w:after="0"/>
              <w:rPr>
                <w:sz w:val="1"/>
                <w:szCs w:val="1"/>
                <w:color w:val="auto"/>
              </w:rPr>
            </w:pPr>
          </w:p>
        </w:tc>
      </w:tr>
      <w:tr>
        <w:trPr>
          <w:trHeight w:val="216"/>
        </w:trPr>
        <w:tc>
          <w:tcPr>
            <w:tcW w:w="4540" w:type="dxa"/>
            <w:vAlign w:val="bottom"/>
            <w:tcBorders>
              <w:right w:val="single" w:sz="8" w:color="auto"/>
            </w:tcBorders>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Revenue by</w:t>
            </w:r>
          </w:p>
        </w:tc>
        <w:tc>
          <w:tcPr>
            <w:tcW w:w="20" w:type="dxa"/>
            <w:vAlign w:val="bottom"/>
            <w:shd w:val="clear" w:color="auto" w:fill="000000"/>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Revenue by</w:t>
            </w:r>
          </w:p>
        </w:tc>
        <w:tc>
          <w:tcPr>
            <w:tcW w:w="20" w:type="dxa"/>
            <w:vAlign w:val="bottom"/>
            <w:shd w:val="clear" w:color="auto" w:fill="000000"/>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Revenue by</w:t>
            </w:r>
          </w:p>
        </w:tc>
        <w:tc>
          <w:tcPr>
            <w:tcW w:w="20" w:type="dxa"/>
            <w:vAlign w:val="bottom"/>
            <w:shd w:val="clear" w:color="auto" w:fill="000000"/>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assets by</w:t>
            </w:r>
          </w:p>
        </w:tc>
        <w:tc>
          <w:tcPr>
            <w:tcW w:w="20" w:type="dxa"/>
            <w:vAlign w:val="bottom"/>
            <w:shd w:val="clear" w:color="auto" w:fill="000000"/>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assets by</w:t>
            </w:r>
          </w:p>
        </w:tc>
        <w:tc>
          <w:tcPr>
            <w:tcW w:w="0" w:type="dxa"/>
            <w:vAlign w:val="bottom"/>
          </w:tcPr>
          <w:p>
            <w:pPr>
              <w:spacing w:after="0"/>
              <w:rPr>
                <w:sz w:val="1"/>
                <w:szCs w:val="1"/>
                <w:color w:val="auto"/>
              </w:rPr>
            </w:pPr>
          </w:p>
        </w:tc>
      </w:tr>
      <w:tr>
        <w:trPr>
          <w:trHeight w:val="216"/>
        </w:trPr>
        <w:tc>
          <w:tcPr>
            <w:tcW w:w="4540" w:type="dxa"/>
            <w:vAlign w:val="bottom"/>
            <w:tcBorders>
              <w:right w:val="single" w:sz="8" w:color="auto"/>
            </w:tcBorders>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location of</w:t>
            </w:r>
          </w:p>
        </w:tc>
        <w:tc>
          <w:tcPr>
            <w:tcW w:w="20" w:type="dxa"/>
            <w:vAlign w:val="bottom"/>
            <w:shd w:val="clear" w:color="auto" w:fill="000000"/>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location of</w:t>
            </w:r>
          </w:p>
        </w:tc>
        <w:tc>
          <w:tcPr>
            <w:tcW w:w="20" w:type="dxa"/>
            <w:vAlign w:val="bottom"/>
            <w:shd w:val="clear" w:color="auto" w:fill="000000"/>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location of</w:t>
            </w:r>
          </w:p>
        </w:tc>
        <w:tc>
          <w:tcPr>
            <w:tcW w:w="20" w:type="dxa"/>
            <w:vAlign w:val="bottom"/>
            <w:shd w:val="clear" w:color="auto" w:fill="000000"/>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location of</w:t>
            </w:r>
          </w:p>
        </w:tc>
        <w:tc>
          <w:tcPr>
            <w:tcW w:w="20" w:type="dxa"/>
            <w:vAlign w:val="bottom"/>
            <w:shd w:val="clear" w:color="auto" w:fill="000000"/>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location of</w:t>
            </w:r>
          </w:p>
        </w:tc>
        <w:tc>
          <w:tcPr>
            <w:tcW w:w="0" w:type="dxa"/>
            <w:vAlign w:val="bottom"/>
          </w:tcPr>
          <w:p>
            <w:pPr>
              <w:spacing w:after="0"/>
              <w:rPr>
                <w:sz w:val="1"/>
                <w:szCs w:val="1"/>
                <w:color w:val="auto"/>
              </w:rPr>
            </w:pPr>
          </w:p>
        </w:tc>
      </w:tr>
      <w:tr>
        <w:trPr>
          <w:trHeight w:val="245"/>
        </w:trPr>
        <w:tc>
          <w:tcPr>
            <w:tcW w:w="4540" w:type="dxa"/>
            <w:vAlign w:val="bottom"/>
            <w:tcBorders>
              <w:right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20" w:type="dxa"/>
            <w:vAlign w:val="bottom"/>
            <w:tcBorders>
              <w:bottom w:val="single" w:sz="8" w:color="auto"/>
            </w:tcBorders>
            <w:shd w:val="clear" w:color="auto" w:fill="000000"/>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1,220</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1,166</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90,993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21,057</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546</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100,637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77,469</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2,542</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1,272</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126,419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1,306</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2,045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54,638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50,346</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762,308</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489,657</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173,591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4,130</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countries</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16,012</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8,688</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6,876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4,852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783,207</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502,547</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160,096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551,130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153,002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non-current assets figure above excludes deferred tax assets.</w:t>
      </w:r>
    </w:p>
    <w:p>
      <w:pPr>
        <w:spacing w:after="0" w:line="221" w:lineRule="exact"/>
        <w:rPr>
          <w:sz w:val="20"/>
          <w:szCs w:val="20"/>
          <w:color w:val="auto"/>
        </w:rPr>
      </w:pPr>
    </w:p>
    <w:p>
      <w:pPr>
        <w:ind w:left="380" w:hanging="372"/>
        <w:spacing w:after="0"/>
        <w:tabs>
          <w:tab w:leader="none" w:pos="3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Revenue from contracts with 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revenue from contracts with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derives revenue from the sale and transfer of goods and services over time and at a point in time under the following major business activities: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80" w:type="dxa"/>
            <w:vAlign w:val="bottom"/>
            <w:tcBorders>
              <w:right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4"/>
        </w:trPr>
        <w:tc>
          <w:tcPr>
            <w:tcW w:w="318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Recognition</w:t>
            </w:r>
          </w:p>
        </w:tc>
        <w:tc>
          <w:tcPr>
            <w:tcW w:w="2400" w:type="dxa"/>
            <w:vAlign w:val="bottom"/>
            <w:tcBorders>
              <w:right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13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r>
        <w:trPr>
          <w:trHeight w:val="245"/>
        </w:trPr>
        <w:tc>
          <w:tcPr>
            <w:tcW w:w="31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r>
      <w:tr>
        <w:trPr>
          <w:trHeight w:val="223"/>
        </w:trPr>
        <w:tc>
          <w:tcPr>
            <w:tcW w:w="31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goods</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At a point in time</w:t>
            </w:r>
          </w:p>
        </w:tc>
        <w:tc>
          <w:tcPr>
            <w:tcW w:w="2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Precision Medicine</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770,944</w:t>
            </w:r>
          </w:p>
        </w:tc>
        <w:tc>
          <w:tcPr>
            <w:tcW w:w="13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496,310</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155,984</w:t>
            </w:r>
          </w:p>
        </w:tc>
      </w:tr>
      <w:tr>
        <w:trPr>
          <w:trHeight w:val="223"/>
        </w:trPr>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Royalty income</w:t>
            </w: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At a point in time</w:t>
            </w:r>
          </w:p>
        </w:tc>
        <w:tc>
          <w:tcPr>
            <w:tcW w:w="2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Precision Medicine</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151</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392</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w:t>
            </w:r>
          </w:p>
        </w:tc>
      </w:tr>
      <w:tr>
        <w:trPr>
          <w:trHeight w:val="223"/>
        </w:trPr>
        <w:tc>
          <w:tcPr>
            <w:tcW w:w="31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of services</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Over time</w:t>
            </w:r>
          </w:p>
        </w:tc>
        <w:tc>
          <w:tcPr>
            <w:tcW w:w="2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Manufacturing Solutions</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2,750</w:t>
            </w:r>
          </w:p>
        </w:tc>
        <w:tc>
          <w:tcPr>
            <w:tcW w:w="13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418</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Licenses of intellectual property</w:t>
            </w: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Over time</w:t>
            </w:r>
          </w:p>
        </w:tc>
        <w:tc>
          <w:tcPr>
            <w:tcW w:w="2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Therapeutics</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374</w:t>
            </w:r>
          </w:p>
        </w:tc>
      </w:tr>
      <w:tr>
        <w:trPr>
          <w:trHeight w:val="223"/>
        </w:trPr>
        <w:tc>
          <w:tcPr>
            <w:tcW w:w="31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services</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Over time</w:t>
            </w:r>
          </w:p>
        </w:tc>
        <w:tc>
          <w:tcPr>
            <w:tcW w:w="2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Precision Medicine</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Research and development services</w:t>
            </w: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Over time</w:t>
            </w:r>
          </w:p>
        </w:tc>
        <w:tc>
          <w:tcPr>
            <w:tcW w:w="2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Therapeutics</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9,351</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5,291</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3,353</w:t>
            </w:r>
          </w:p>
        </w:tc>
      </w:tr>
      <w:tr>
        <w:trPr>
          <w:trHeight w:val="194"/>
        </w:trPr>
        <w:tc>
          <w:tcPr>
            <w:tcW w:w="3180" w:type="dxa"/>
            <w:vAlign w:val="bottom"/>
            <w:tcBorders>
              <w:right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revenue from continuing</w:t>
            </w:r>
          </w:p>
        </w:tc>
        <w:tc>
          <w:tcPr>
            <w:tcW w:w="1660" w:type="dxa"/>
            <w:vAlign w:val="bottom"/>
            <w:tcBorders>
              <w:right w:val="single" w:sz="8" w:color="auto"/>
            </w:tcBorders>
            <w:shd w:val="clear" w:color="auto" w:fill="CCEEFF"/>
          </w:tcPr>
          <w:p>
            <w:pPr>
              <w:spacing w:after="0"/>
              <w:rPr>
                <w:sz w:val="16"/>
                <w:szCs w:val="16"/>
                <w:color w:val="auto"/>
              </w:rPr>
            </w:pPr>
          </w:p>
        </w:tc>
        <w:tc>
          <w:tcPr>
            <w:tcW w:w="2400" w:type="dxa"/>
            <w:vAlign w:val="bottom"/>
            <w:tcBorders>
              <w:right w:val="single" w:sz="8" w:color="auto"/>
            </w:tcBorders>
            <w:shd w:val="clear" w:color="auto" w:fill="CCEEFF"/>
          </w:tcPr>
          <w:p>
            <w:pPr>
              <w:spacing w:after="0"/>
              <w:rPr>
                <w:sz w:val="16"/>
                <w:szCs w:val="16"/>
                <w:color w:val="auto"/>
              </w:rPr>
            </w:pPr>
          </w:p>
        </w:tc>
        <w:tc>
          <w:tcPr>
            <w:tcW w:w="1360" w:type="dxa"/>
            <w:vAlign w:val="bottom"/>
            <w:tcBorders>
              <w:right w:val="single" w:sz="8" w:color="auto"/>
            </w:tcBorders>
            <w:shd w:val="clear" w:color="auto" w:fill="CCEEFF"/>
          </w:tcPr>
          <w:p>
            <w:pPr>
              <w:spacing w:after="0"/>
              <w:rPr>
                <w:sz w:val="16"/>
                <w:szCs w:val="16"/>
                <w:color w:val="auto"/>
              </w:rPr>
            </w:pPr>
          </w:p>
        </w:tc>
        <w:tc>
          <w:tcPr>
            <w:tcW w:w="1340" w:type="dxa"/>
            <w:vAlign w:val="bottom"/>
            <w:tcBorders>
              <w:right w:val="single" w:sz="8" w:color="auto"/>
            </w:tcBorders>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45"/>
        </w:trPr>
        <w:tc>
          <w:tcPr>
            <w:tcW w:w="318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660" w:type="dxa"/>
            <w:vAlign w:val="bottom"/>
            <w:tcBorders>
              <w:bottom w:val="single" w:sz="8" w:color="auto"/>
              <w:right w:val="single" w:sz="8" w:color="auto"/>
            </w:tcBorders>
            <w:shd w:val="clear" w:color="auto" w:fill="CCEEFF"/>
          </w:tcPr>
          <w:p>
            <w:pPr>
              <w:spacing w:after="0"/>
              <w:rPr>
                <w:sz w:val="21"/>
                <w:szCs w:val="21"/>
                <w:color w:val="auto"/>
              </w:rPr>
            </w:pPr>
          </w:p>
        </w:tc>
        <w:tc>
          <w:tcPr>
            <w:tcW w:w="240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783,207</w:t>
            </w:r>
          </w:p>
        </w:tc>
        <w:tc>
          <w:tcPr>
            <w:tcW w:w="13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502,547</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160,096</w:t>
            </w:r>
          </w:p>
        </w:tc>
      </w:tr>
      <w:tr>
        <w:trPr>
          <w:trHeight w:val="571"/>
        </w:trPr>
        <w:tc>
          <w:tcPr>
            <w:tcW w:w="3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0" w:type="dxa"/>
            <w:vAlign w:val="bottom"/>
          </w:tcPr>
          <w:p>
            <w:pPr>
              <w:jc w:val="right"/>
              <w:ind w:right="1392"/>
              <w:spacing w:after="0"/>
              <w:rPr>
                <w:sz w:val="20"/>
                <w:szCs w:val="20"/>
                <w:color w:val="auto"/>
              </w:rPr>
            </w:pPr>
            <w:r>
              <w:rPr>
                <w:rFonts w:ascii="Times New Roman" w:cs="Times New Roman" w:eastAsia="Times New Roman" w:hAnsi="Times New Roman"/>
                <w:sz w:val="14"/>
                <w:szCs w:val="14"/>
                <w:color w:val="auto"/>
              </w:rPr>
              <w:t>F-29</w:t>
            </w: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4"/>
        </w:trPr>
        <w:tc>
          <w:tcPr>
            <w:tcW w:w="31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273" w:name="page274"/>
    <w:bookmarkEnd w:id="2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Research and development costs</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180" w:type="dxa"/>
            <w:vAlign w:val="bottom"/>
            <w:tcBorders>
              <w:right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180" w:type="dxa"/>
            <w:vAlign w:val="bottom"/>
            <w:tcBorders>
              <w:right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Therapeutics</w:t>
            </w:r>
          </w:p>
        </w:tc>
        <w:tc>
          <w:tcPr>
            <w:tcW w:w="1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TLX591 (Phase 3)</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44,879</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23,975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15,518</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TLX250, TLX101 (Phase 2)</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12,404</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10,441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8,241</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TLX66, TLX300 (Phase 1)</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10,900</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4,534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Pre-clinical research and innovation</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14,399</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8,616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7,038</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Therapeutics R&amp;D</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82,582</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47,566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32,402</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Precision Medicine</w:t>
            </w:r>
          </w:p>
        </w:tc>
        <w:tc>
          <w:tcPr>
            <w:tcW w:w="1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Illuccix, TLX591-CDx (Commercial)</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14,725</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10,565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10,611</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Pixclara, Zircaix, Gozellix (Pre-commercial)</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88,754</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59,605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31,667</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Pre-clinical research and innovation</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7,869</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10,157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6,007</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Precision Medicine R&amp;D</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111,348</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80,327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48,285</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shd w:val="clear" w:color="auto" w:fill="CCEEFF"/>
              </w:rPr>
              <w:t>Total product development R&amp;D</w:t>
            </w:r>
          </w:p>
        </w:tc>
        <w:tc>
          <w:tcPr>
            <w:tcW w:w="13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193,930</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127,893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80,687</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Manufacturing Solutions</w:t>
            </w:r>
          </w:p>
        </w:tc>
        <w:tc>
          <w:tcPr>
            <w:tcW w:w="1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research and development projects</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707</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Manufacturing Solutions R&amp;D</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707</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costs</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194,637</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128,537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80,687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research and development projects includes research and innovation costs and other early-stage development projects.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General and administration costs</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The significant components of general and administration costs are summarized below:</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1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7200" w:type="dxa"/>
            <w:vAlign w:val="bottom"/>
            <w:tcBorders>
              <w:right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17,508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8,138</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Acquisition transaction costs</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8,177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listing costs</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 infrastructure, hosting and support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6,669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conferences and entertainment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Rent and insurance</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4,250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2,097</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sponsorship</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U.S. listing costs comprise legal, accounting and regulatory fees relating to the listing of American Depository Shares (ADS), representing the Company’s ordinary shares, on the Nasdaq Stock Market (Nasdaq).</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transaction costs comprise of legal and accounting fees incurred on ARTMS, ITG and RLS.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Employment costs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7240" w:type="dxa"/>
            <w:vAlign w:val="bottom"/>
            <w:tcBorders>
              <w:right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126,995</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82,108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47,302</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Short term incentives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15,408</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9,413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4,025</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commissions</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7,997</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7,167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Share-based payment charge</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19,660</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8,786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8,114</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Superannuation</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2,597</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Non-Executive Directors’ fees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853</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173,510</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109,849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64,485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Salaries and wages of $6,167,000 (2023: $1,483,000, 2022: $903,000) are included within the cost of sales in the Consolidated statement of comprehensive income.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increase in employment costs was predominantly due to the additional employees hired to drive higher commercial sales and marketing efforts in the U.S., and a higher number of employees required to support the increase in research and development activities.</w:t>
      </w:r>
    </w:p>
    <w:p>
      <w:pPr>
        <w:spacing w:after="0" w:line="158" w:lineRule="exact"/>
        <w:rPr>
          <w:sz w:val="20"/>
          <w:szCs w:val="20"/>
          <w:color w:val="auto"/>
        </w:rPr>
      </w:pPr>
    </w:p>
    <w:p>
      <w:pPr>
        <w:ind w:left="380" w:hanging="372"/>
        <w:spacing w:after="0"/>
        <w:tabs>
          <w:tab w:leader="none" w:pos="38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Depreciation and amortization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Borders>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2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r>
      <w:tr>
        <w:trPr>
          <w:trHeight w:val="223"/>
        </w:trPr>
        <w:tc>
          <w:tcPr>
            <w:tcW w:w="7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4,512</w:t>
            </w:r>
          </w:p>
        </w:tc>
        <w:tc>
          <w:tcPr>
            <w:tcW w:w="13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4,344</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4,098</w:t>
            </w:r>
          </w:p>
        </w:tc>
      </w:tr>
      <w:tr>
        <w:trPr>
          <w:trHeight w:val="223"/>
        </w:trPr>
        <w:tc>
          <w:tcPr>
            <w:tcW w:w="7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3,506</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2,399</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1,281</w:t>
            </w:r>
          </w:p>
        </w:tc>
      </w:tr>
      <w:tr>
        <w:trPr>
          <w:trHeight w:val="223"/>
        </w:trPr>
        <w:tc>
          <w:tcPr>
            <w:tcW w:w="7240" w:type="dxa"/>
            <w:vAlign w:val="bottom"/>
            <w:tcBorders>
              <w:bottom w:val="single" w:sz="8" w:color="auto"/>
              <w:right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8,018</w:t>
            </w:r>
          </w:p>
        </w:tc>
        <w:tc>
          <w:tcPr>
            <w:tcW w:w="13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6,743</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5,379</w:t>
            </w:r>
          </w:p>
        </w:tc>
      </w:tr>
    </w:tbl>
    <w:p>
      <w:pPr>
        <w:spacing w:after="0" w:line="19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9.</w:t>
        <w:tab/>
        <w:t>Other (gains)/losses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156845</wp:posOffset>
            </wp:positionV>
            <wp:extent cx="1714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156845</wp:posOffset>
            </wp:positionV>
            <wp:extent cx="1714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156845</wp:posOffset>
            </wp:positionV>
            <wp:extent cx="1714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17145" cy="5715"/>
                    </a:xfrm>
                    <a:prstGeom prst="rect">
                      <a:avLst/>
                    </a:prstGeom>
                    <a:noFill/>
                  </pic:spPr>
                </pic:pic>
              </a:graphicData>
            </a:graphic>
          </wp:anchor>
        </w:drawing>
      </w:r>
    </w:p>
    <w:p>
      <w:pPr>
        <w:sectPr>
          <w:pgSz w:w="11900" w:h="16838" w:orient="portrait"/>
          <w:cols w:equalWidth="0" w:num="1">
            <w:col w:w="11240"/>
          </w:cols>
          <w:pgMar w:left="320" w:top="114" w:right="339" w:bottom="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23"/>
        </w:trPr>
        <w:tc>
          <w:tcPr>
            <w:tcW w:w="4760" w:type="dxa"/>
            <w:vAlign w:val="bottom"/>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r>
      <w:tr>
        <w:trPr>
          <w:trHeight w:val="223"/>
        </w:trPr>
        <w:tc>
          <w:tcPr>
            <w:tcW w:w="4760" w:type="dxa"/>
            <w:vAlign w:val="bottom"/>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0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A$’000</w:t>
            </w:r>
          </w:p>
        </w:tc>
      </w:tr>
      <w:tr>
        <w:trPr>
          <w:trHeight w:val="223"/>
        </w:trPr>
        <w:tc>
          <w:tcPr>
            <w:tcW w:w="47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contingent consideration</w:t>
            </w:r>
          </w:p>
        </w:tc>
        <w:tc>
          <w:tcPr>
            <w:tcW w:w="248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11,062</w:t>
            </w:r>
          </w:p>
        </w:tc>
        <w:tc>
          <w:tcPr>
            <w:tcW w:w="1340" w:type="dxa"/>
            <w:vAlign w:val="bottom"/>
            <w:tcBorders>
              <w:top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34,275</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Remeasurement of provisions</w:t>
            </w:r>
          </w:p>
        </w:tc>
        <w:tc>
          <w:tcPr>
            <w:tcW w:w="24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730</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9"/>
                <w:szCs w:val="19"/>
                <w:color w:val="auto"/>
              </w:rPr>
            </w:pPr>
          </w:p>
        </w:tc>
      </w:tr>
      <w:tr>
        <w:trPr>
          <w:trHeight w:val="223"/>
        </w:trPr>
        <w:tc>
          <w:tcPr>
            <w:tcW w:w="4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currency gain</w:t>
            </w:r>
          </w:p>
        </w:tc>
        <w:tc>
          <w:tcPr>
            <w:tcW w:w="2480" w:type="dxa"/>
            <w:vAlign w:val="bottom"/>
            <w:tcBorders>
              <w:bottom w:val="single" w:sz="8" w:color="auto"/>
              <w:right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Impairments/(impairment reversals) of intangible assets</w:t>
            </w:r>
          </w:p>
        </w:tc>
        <w:tc>
          <w:tcPr>
            <w:tcW w:w="24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804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3"/>
        </w:trPr>
        <w:tc>
          <w:tcPr>
            <w:tcW w:w="4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80" w:type="dxa"/>
            <w:vAlign w:val="bottom"/>
            <w:tcBorders>
              <w:bottom w:val="single" w:sz="8" w:color="auto"/>
              <w:right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Unrealized currency (gain)/loss</w:t>
            </w:r>
          </w:p>
        </w:tc>
        <w:tc>
          <w:tcPr>
            <w:tcW w:w="24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(18,636)</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3,428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r>
      <w:tr>
        <w:trPr>
          <w:trHeight w:val="223"/>
        </w:trPr>
        <w:tc>
          <w:tcPr>
            <w:tcW w:w="4760" w:type="dxa"/>
            <w:vAlign w:val="bottom"/>
            <w:tcBorders>
              <w:bottom w:val="single" w:sz="8" w:color="auto"/>
            </w:tcBorders>
            <w:shd w:val="clear" w:color="auto" w:fill="CCEEFF"/>
          </w:tcPr>
          <w:p>
            <w:pPr>
              <w:spacing w:after="0"/>
              <w:rPr>
                <w:sz w:val="19"/>
                <w:szCs w:val="19"/>
                <w:color w:val="auto"/>
              </w:rPr>
            </w:pPr>
          </w:p>
        </w:tc>
        <w:tc>
          <w:tcPr>
            <w:tcW w:w="2480" w:type="dxa"/>
            <w:vAlign w:val="bottom"/>
            <w:tcBorders>
              <w:bottom w:val="single" w:sz="8" w:color="auto"/>
              <w:right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(8,123)</w:t>
            </w:r>
          </w:p>
        </w:tc>
        <w:tc>
          <w:tcPr>
            <w:tcW w:w="13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35,854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571"/>
        </w:trPr>
        <w:tc>
          <w:tcPr>
            <w:tcW w:w="4760" w:type="dxa"/>
            <w:vAlign w:val="bottom"/>
          </w:tcPr>
          <w:p>
            <w:pPr>
              <w:spacing w:after="0"/>
              <w:rPr>
                <w:sz w:val="24"/>
                <w:szCs w:val="24"/>
                <w:color w:val="auto"/>
              </w:rPr>
            </w:pPr>
          </w:p>
        </w:tc>
        <w:tc>
          <w:tcPr>
            <w:tcW w:w="3840" w:type="dxa"/>
            <w:vAlign w:val="bottom"/>
            <w:gridSpan w:val="2"/>
          </w:tcPr>
          <w:p>
            <w:pPr>
              <w:jc w:val="right"/>
              <w:ind w:right="2750"/>
              <w:spacing w:after="0"/>
              <w:rPr>
                <w:sz w:val="20"/>
                <w:szCs w:val="20"/>
                <w:color w:val="auto"/>
              </w:rPr>
            </w:pPr>
            <w:r>
              <w:rPr>
                <w:rFonts w:ascii="Times New Roman" w:cs="Times New Roman" w:eastAsia="Times New Roman" w:hAnsi="Times New Roman"/>
                <w:sz w:val="14"/>
                <w:szCs w:val="14"/>
                <w:color w:val="auto"/>
              </w:rPr>
              <w:t>F-30</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76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40" w:right="339" w:bottom="1440" w:gutter="0" w:footer="0" w:header="0"/>
        </w:sectPr>
      </w:pPr>
    </w:p>
    <w:bookmarkStart w:id="275" w:name="page276"/>
    <w:bookmarkEnd w:id="2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1"/>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Finance costs</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220" w:type="dxa"/>
            <w:vAlign w:val="bottom"/>
            <w:tcBorders>
              <w:right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62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Unwind of discount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29,245</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12,774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6,287</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745</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bond interest expense</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6,419</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fees</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445</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costs</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36,936</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13,772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6,693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recognized an unwind of discount on convertible bonds of $13,773,000 (2023: $Nil, 2022: $Nil), contingent consideration liabilities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$14,738,000 (2023: $11,394,000, 2022: $4,957,000), provisions of $383,000 (2023: $419,000, 2022: $252,000) and contract liabilities of $711,000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$969,000, 2022: $1,078,000).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Income tax expense/(benefit)</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11.1. Income tax expense/(benefit)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7240" w:type="dxa"/>
            <w:vAlign w:val="bottom"/>
            <w:tcBorders>
              <w:right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Current tax expense</w:t>
            </w:r>
            <w:r>
              <w:rPr>
                <w:rFonts w:ascii="Times New Roman" w:cs="Times New Roman" w:eastAsia="Times New Roman" w:hAnsi="Times New Roman"/>
                <w:sz w:val="25"/>
                <w:szCs w:val="25"/>
                <w:color w:val="auto"/>
                <w:vertAlign w:val="superscript"/>
              </w:rPr>
              <w:t>1</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32,422</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14,357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9,428</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 benefit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6,137</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5,457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460" w:hanging="372"/>
        <w:spacing w:after="0" w:line="282" w:lineRule="auto"/>
        <w:tabs>
          <w:tab w:leader="none" w:pos="3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tax expense is attributable to Telix Innovations SA and Telix Pharmaceuticals US Inc and is driven by the individual entity’s taxable profits.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 Numerical reconciliation of prima facie tax payable to income tax expense/(benefit)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34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2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130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220" w:type="dxa"/>
            <w:vAlign w:val="bottom"/>
            <w:tcBorders>
              <w:right w:val="single" w:sz="8" w:color="auto"/>
            </w:tcBorders>
          </w:tcPr>
          <w:p>
            <w:pPr>
              <w:spacing w:after="0"/>
              <w:rPr>
                <w:sz w:val="19"/>
                <w:szCs w:val="19"/>
                <w:color w:val="auto"/>
              </w:rPr>
            </w:pPr>
          </w:p>
        </w:tc>
        <w:tc>
          <w:tcPr>
            <w:tcW w:w="1340" w:type="dxa"/>
            <w:vAlign w:val="bottom"/>
            <w:tcBorders>
              <w:bottom w:val="single" w:sz="8" w:color="auto"/>
            </w:tcBorders>
            <w:gridSpan w:val="3"/>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3"/>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62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Profit/(loss) before income tax</w:t>
            </w:r>
          </w:p>
        </w:tc>
        <w:tc>
          <w:tcPr>
            <w:tcW w:w="134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56,056</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(98,622)</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Prima-facie tax at a rate of 30.0% (2023: 30.0%, 2022: 30.0% )</w:t>
            </w:r>
          </w:p>
        </w:tc>
        <w:tc>
          <w:tcPr>
            <w:tcW w:w="1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16,817</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926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(29,587)</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effect of amounts which are not deductible (taxable) in calculating taxable income:</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R&amp;D tax incentive credit</w:t>
            </w: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(20,939)</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provisions</w:t>
            </w:r>
          </w:p>
        </w:tc>
        <w:tc>
          <w:tcPr>
            <w:tcW w:w="134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7,441</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13,915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7,423</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Share-based payments expense</w:t>
            </w:r>
          </w:p>
        </w:tc>
        <w:tc>
          <w:tcPr>
            <w:tcW w:w="1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2,636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Share Trust payments</w:t>
            </w: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Sundry items</w:t>
            </w:r>
          </w:p>
        </w:tc>
        <w:tc>
          <w:tcPr>
            <w:tcW w:w="1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562</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translation loss</w:t>
            </w:r>
          </w:p>
        </w:tc>
        <w:tc>
          <w:tcPr>
            <w:tcW w:w="134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62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1,910</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890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(34,953)</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 tax losses not recognized</w:t>
            </w:r>
          </w:p>
        </w:tc>
        <w:tc>
          <w:tcPr>
            <w:tcW w:w="134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61,409</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35,152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46,325</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Prior year tax losses recognized</w:t>
            </w:r>
          </w:p>
        </w:tc>
        <w:tc>
          <w:tcPr>
            <w:tcW w:w="1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for current tax of prior periods</w:t>
            </w:r>
          </w:p>
        </w:tc>
        <w:tc>
          <w:tcPr>
            <w:tcW w:w="134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Difference in overseas tax rates</w:t>
            </w: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(57,182)</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(38,166)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(benefit)/expense</w:t>
            </w:r>
          </w:p>
        </w:tc>
        <w:tc>
          <w:tcPr>
            <w:tcW w:w="134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6,137</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5,457</w:t>
            </w:r>
          </w:p>
        </w:tc>
        <w:tc>
          <w:tcPr>
            <w:tcW w:w="0" w:type="dxa"/>
            <w:vAlign w:val="bottom"/>
          </w:tcPr>
          <w:p>
            <w:pPr>
              <w:spacing w:after="0"/>
              <w:rPr>
                <w:sz w:val="1"/>
                <w:szCs w:val="1"/>
                <w:color w:val="auto"/>
              </w:rPr>
            </w:pPr>
          </w:p>
        </w:tc>
      </w:tr>
      <w:tr>
        <w:trPr>
          <w:trHeight w:val="432"/>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12.1.Basic earnings per share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gridSpan w:val="2"/>
            <w:vMerge w:val="restart"/>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gridSpan w:val="2"/>
            <w:vMerge w:val="restart"/>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6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Cents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Cents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Cents</w:t>
            </w:r>
          </w:p>
        </w:tc>
        <w:tc>
          <w:tcPr>
            <w:tcW w:w="0" w:type="dxa"/>
            <w:vAlign w:val="bottom"/>
          </w:tcPr>
          <w:p>
            <w:pPr>
              <w:spacing w:after="0"/>
              <w:rPr>
                <w:sz w:val="1"/>
                <w:szCs w:val="1"/>
                <w:color w:val="auto"/>
              </w:rPr>
            </w:pPr>
          </w:p>
        </w:tc>
      </w:tr>
      <w:tr>
        <w:trPr>
          <w:trHeight w:val="198"/>
        </w:trPr>
        <w:tc>
          <w:tcPr>
            <w:tcW w:w="724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earnings/(loss) per share from continuing operations attributable to the ordinary equity</w:t>
            </w:r>
          </w:p>
        </w:tc>
        <w:tc>
          <w:tcPr>
            <w:tcW w:w="80" w:type="dxa"/>
            <w:vAlign w:val="bottom"/>
            <w:shd w:val="clear" w:color="auto" w:fill="CCEEFF"/>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240" w:type="dxa"/>
            <w:vAlign w:val="bottom"/>
            <w:tcBorders>
              <w:bottom w:val="single" w:sz="8" w:color="auto"/>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holders of the Company</w:t>
            </w: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000000"/>
          </w:tcPr>
          <w:p>
            <w:pPr>
              <w:spacing w:after="0"/>
              <w:rPr>
                <w:sz w:val="20"/>
                <w:szCs w:val="20"/>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tcBorders>
              <w:bottom w:val="single" w:sz="8" w:color="auto"/>
            </w:tcBorders>
            <w:gridSpan w:val="2"/>
            <w:shd w:val="clear" w:color="auto" w:fill="CCEEFF"/>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auto"/>
            </w:tcBorders>
            <w:gridSpan w:val="2"/>
            <w:shd w:val="clear" w:color="auto" w:fill="CCEEFF"/>
          </w:tcPr>
          <w:p>
            <w:pPr>
              <w:spacing w:after="0"/>
              <w:rPr>
                <w:sz w:val="20"/>
                <w:szCs w:val="20"/>
                <w:color w:val="auto"/>
              </w:rPr>
            </w:pPr>
          </w:p>
        </w:tc>
        <w:tc>
          <w:tcPr>
            <w:tcW w:w="40" w:type="dxa"/>
            <w:vAlign w:val="bottom"/>
            <w:tcBorders>
              <w:bottom w:val="single" w:sz="8" w:color="auto"/>
            </w:tcBorders>
            <w:shd w:val="clear" w:color="auto" w:fill="000000"/>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 basic earnings/(loss) per share attributable to the ordinary equity holders of the Company</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auto"/>
            </w:tcBorders>
            <w:gridSpan w:val="2"/>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0" w:type="dxa"/>
            <w:vAlign w:val="bottom"/>
          </w:tcPr>
          <w:p>
            <w:pPr>
              <w:spacing w:after="0"/>
              <w:rPr>
                <w:sz w:val="1"/>
                <w:szCs w:val="1"/>
                <w:color w:val="auto"/>
              </w:rPr>
            </w:pPr>
          </w:p>
        </w:tc>
      </w:tr>
      <w:tr>
        <w:trPr>
          <w:trHeight w:val="432"/>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12.2.Diluted earnings per share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gridSpan w:val="2"/>
            <w:vMerge w:val="restart"/>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gridSpan w:val="2"/>
            <w:vMerge w:val="restart"/>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6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Cents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Cents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Cents</w:t>
            </w:r>
          </w:p>
        </w:tc>
        <w:tc>
          <w:tcPr>
            <w:tcW w:w="0" w:type="dxa"/>
            <w:vAlign w:val="bottom"/>
          </w:tcPr>
          <w:p>
            <w:pPr>
              <w:spacing w:after="0"/>
              <w:rPr>
                <w:sz w:val="1"/>
                <w:szCs w:val="1"/>
                <w:color w:val="auto"/>
              </w:rPr>
            </w:pPr>
          </w:p>
        </w:tc>
      </w:tr>
      <w:tr>
        <w:trPr>
          <w:trHeight w:val="198"/>
        </w:trPr>
        <w:tc>
          <w:tcPr>
            <w:tcW w:w="724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Diluted earnings/(loss) per share from continuing operations attributable to the ordinary equity</w:t>
            </w:r>
          </w:p>
        </w:tc>
        <w:tc>
          <w:tcPr>
            <w:tcW w:w="80" w:type="dxa"/>
            <w:vAlign w:val="bottom"/>
            <w:shd w:val="clear" w:color="auto" w:fill="CCEEFF"/>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240" w:type="dxa"/>
            <w:vAlign w:val="bottom"/>
            <w:tcBorders>
              <w:bottom w:val="single" w:sz="8" w:color="auto"/>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holders of the Company</w:t>
            </w: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000000"/>
          </w:tcPr>
          <w:p>
            <w:pPr>
              <w:spacing w:after="0"/>
              <w:rPr>
                <w:sz w:val="20"/>
                <w:szCs w:val="20"/>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tcBorders>
              <w:bottom w:val="single" w:sz="8" w:color="auto"/>
            </w:tcBorders>
            <w:gridSpan w:val="2"/>
            <w:shd w:val="clear" w:color="auto" w:fill="CCEEFF"/>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auto"/>
            </w:tcBorders>
            <w:gridSpan w:val="2"/>
            <w:shd w:val="clear" w:color="auto" w:fill="CCEEFF"/>
          </w:tcPr>
          <w:p>
            <w:pPr>
              <w:spacing w:after="0"/>
              <w:rPr>
                <w:sz w:val="20"/>
                <w:szCs w:val="20"/>
                <w:color w:val="auto"/>
              </w:rPr>
            </w:pPr>
          </w:p>
        </w:tc>
        <w:tc>
          <w:tcPr>
            <w:tcW w:w="40" w:type="dxa"/>
            <w:vAlign w:val="bottom"/>
            <w:tcBorders>
              <w:bottom w:val="single" w:sz="8" w:color="auto"/>
            </w:tcBorders>
            <w:shd w:val="clear" w:color="auto" w:fill="000000"/>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 diluted earnings/(loss) per share attributable to the ordinary equity holders of the Company</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auto"/>
            </w:tcBorders>
            <w:gridSpan w:val="2"/>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0" w:type="dxa"/>
            <w:vAlign w:val="bottom"/>
          </w:tcPr>
          <w:p>
            <w:pPr>
              <w:spacing w:after="0"/>
              <w:rPr>
                <w:sz w:val="1"/>
                <w:szCs w:val="1"/>
                <w:color w:val="auto"/>
              </w:rPr>
            </w:pPr>
          </w:p>
        </w:tc>
      </w:tr>
      <w:tr>
        <w:trPr>
          <w:trHeight w:val="432"/>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12.3.Weighted average number of shares used as the denominator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gridSpan w:val="2"/>
            <w:vMerge w:val="restart"/>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gridSpan w:val="2"/>
            <w:vMerge w:val="restart"/>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6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198"/>
        </w:trPr>
        <w:tc>
          <w:tcPr>
            <w:tcW w:w="724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used as the denominator in calculating basic</w:t>
            </w:r>
          </w:p>
        </w:tc>
        <w:tc>
          <w:tcPr>
            <w:tcW w:w="80" w:type="dxa"/>
            <w:vAlign w:val="bottom"/>
            <w:shd w:val="clear" w:color="auto" w:fill="CCEEFF"/>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240" w:type="dxa"/>
            <w:vAlign w:val="bottom"/>
            <w:tcBorders>
              <w:bottom w:val="single" w:sz="8" w:color="auto"/>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earnings/loss per share</w:t>
            </w: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000000"/>
          </w:tcPr>
          <w:p>
            <w:pPr>
              <w:spacing w:after="0"/>
              <w:rPr>
                <w:sz w:val="20"/>
                <w:szCs w:val="20"/>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331,226</w:t>
            </w:r>
          </w:p>
        </w:tc>
        <w:tc>
          <w:tcPr>
            <w:tcW w:w="120" w:type="dxa"/>
            <w:vAlign w:val="bottom"/>
            <w:tcBorders>
              <w:bottom w:val="single" w:sz="8" w:color="auto"/>
            </w:tcBorders>
            <w:gridSpan w:val="2"/>
            <w:shd w:val="clear" w:color="auto" w:fill="CCEEFF"/>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319,181</w:t>
            </w:r>
          </w:p>
        </w:tc>
        <w:tc>
          <w:tcPr>
            <w:tcW w:w="100" w:type="dxa"/>
            <w:vAlign w:val="bottom"/>
            <w:tcBorders>
              <w:bottom w:val="single" w:sz="8" w:color="auto"/>
            </w:tcBorders>
            <w:gridSpan w:val="2"/>
            <w:shd w:val="clear" w:color="auto" w:fill="CCEEFF"/>
          </w:tcPr>
          <w:p>
            <w:pPr>
              <w:spacing w:after="0"/>
              <w:rPr>
                <w:sz w:val="20"/>
                <w:szCs w:val="20"/>
                <w:color w:val="auto"/>
              </w:rPr>
            </w:pPr>
          </w:p>
        </w:tc>
        <w:tc>
          <w:tcPr>
            <w:tcW w:w="40" w:type="dxa"/>
            <w:vAlign w:val="bottom"/>
            <w:tcBorders>
              <w:bottom w:val="single" w:sz="8" w:color="auto"/>
            </w:tcBorders>
            <w:shd w:val="clear" w:color="auto" w:fill="000000"/>
          </w:tcPr>
          <w:p>
            <w:pPr>
              <w:spacing w:after="0"/>
              <w:rPr>
                <w:sz w:val="20"/>
                <w:szCs w:val="20"/>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310,644</w:t>
            </w:r>
          </w:p>
        </w:tc>
        <w:tc>
          <w:tcPr>
            <w:tcW w:w="0" w:type="dxa"/>
            <w:vAlign w:val="bottom"/>
          </w:tcPr>
          <w:p>
            <w:pPr>
              <w:spacing w:after="0"/>
              <w:rPr>
                <w:sz w:val="1"/>
                <w:szCs w:val="1"/>
                <w:color w:val="auto"/>
              </w:rPr>
            </w:pPr>
          </w:p>
        </w:tc>
      </w:tr>
      <w:tr>
        <w:trPr>
          <w:trHeight w:val="201"/>
        </w:trPr>
        <w:tc>
          <w:tcPr>
            <w:tcW w:w="72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Weighted average number of ordinary shares used as the denominator in calculating diluted</w:t>
            </w:r>
          </w:p>
        </w:tc>
        <w:tc>
          <w:tcPr>
            <w:tcW w:w="8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7240" w:type="dxa"/>
            <w:vAlign w:val="bottom"/>
            <w:tcBorders>
              <w:bottom w:val="single" w:sz="8" w:color="auto"/>
            </w:tcBorders>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earnings/loss per share</w:t>
            </w:r>
            <w:r>
              <w:rPr>
                <w:rFonts w:ascii="Times New Roman" w:cs="Times New Roman" w:eastAsia="Times New Roman" w:hAnsi="Times New Roman"/>
                <w:sz w:val="29"/>
                <w:szCs w:val="29"/>
                <w:color w:val="auto"/>
                <w:vertAlign w:val="superscript"/>
              </w:rPr>
              <w:t>1</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shd w:val="clear" w:color="auto" w:fill="000000"/>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345,188</w:t>
            </w:r>
          </w:p>
        </w:tc>
        <w:tc>
          <w:tcPr>
            <w:tcW w:w="12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323,710</w:t>
            </w:r>
          </w:p>
        </w:tc>
        <w:tc>
          <w:tcPr>
            <w:tcW w:w="10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auto"/>
            </w:tcBorders>
            <w:shd w:val="clear" w:color="auto" w:fill="000000"/>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310,644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640" w:hanging="372"/>
        <w:spacing w:after="0" w:line="282" w:lineRule="auto"/>
        <w:tabs>
          <w:tab w:leader="none" w:pos="3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2022 there were 4,436,046 options that were not included in the calculation of diluted earnings as they were antidilutive.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8343A"/>
        </w:rPr>
        <w:t>12.3.1.</w:t>
      </w:r>
      <w:r>
        <w:rPr>
          <w:rFonts w:ascii="Times New Roman" w:cs="Times New Roman" w:eastAsia="Times New Roman" w:hAnsi="Times New Roman"/>
          <w:sz w:val="18"/>
          <w:szCs w:val="18"/>
          <w:i w:val="1"/>
          <w:iCs w:val="1"/>
          <w:color w:val="000000"/>
        </w:rPr>
        <w:t>Options and rights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Equity instruments (options, PSARs, PSIRs and rights) granted to employees under the Group’s EIP scheme (refer to note 30 for further details) and rights issued as part of acquisitions are considered to be potential ordinary shares. They have been included in the determination of diluted earnings per share based on achieving the required performance hurdles, and to the extent to which they are dilutive.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8343A"/>
        </w:rPr>
        <w:t>12.3.2.</w:t>
      </w:r>
      <w:r>
        <w:rPr>
          <w:rFonts w:ascii="Times New Roman" w:cs="Times New Roman" w:eastAsia="Times New Roman" w:hAnsi="Times New Roman"/>
          <w:sz w:val="18"/>
          <w:szCs w:val="18"/>
          <w:i w:val="1"/>
          <w:iCs w:val="1"/>
          <w:color w:val="000000"/>
        </w:rPr>
        <w:t>Convertible bonds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Convertible bonds issued during the year are not included in the calculation of diluted earnings per share, because they are antidilutive for the year ended December 31, 2024. These options could potentially dilute basic earnings per share in the future. Refer to note 23.2 for further details relating to the convertible bonds.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Trade and other receivables</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18"/>
                <w:szCs w:val="18"/>
                <w:color w:val="auto"/>
              </w:rPr>
            </w:pPr>
          </w:p>
        </w:tc>
        <w:tc>
          <w:tcPr>
            <w:tcW w:w="1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580" w:type="dxa"/>
            <w:vAlign w:val="bottom"/>
            <w:tcBorders>
              <w:right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85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139,656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65,310</w:t>
            </w:r>
          </w:p>
        </w:tc>
        <w:tc>
          <w:tcPr>
            <w:tcW w:w="0" w:type="dxa"/>
            <w:vAlign w:val="bottom"/>
          </w:tcPr>
          <w:p>
            <w:pPr>
              <w:spacing w:after="0"/>
              <w:rPr>
                <w:sz w:val="1"/>
                <w:szCs w:val="1"/>
                <w:color w:val="auto"/>
              </w:rPr>
            </w:pPr>
          </w:p>
        </w:tc>
      </w:tr>
      <w:tr>
        <w:trPr>
          <w:trHeight w:val="223"/>
        </w:trPr>
        <w:tc>
          <w:tcPr>
            <w:tcW w:w="8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Allowance for impairment losses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23"/>
        </w:trPr>
        <w:tc>
          <w:tcPr>
            <w:tcW w:w="858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139,445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64,777</w:t>
            </w: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Inventories</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18"/>
                <w:szCs w:val="18"/>
                <w:color w:val="auto"/>
              </w:rPr>
            </w:pPr>
          </w:p>
        </w:tc>
        <w:tc>
          <w:tcPr>
            <w:tcW w:w="1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580" w:type="dxa"/>
            <w:vAlign w:val="bottom"/>
            <w:tcBorders>
              <w:right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85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stores</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14,396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r>
        <w:trPr>
          <w:trHeight w:val="223"/>
        </w:trPr>
        <w:tc>
          <w:tcPr>
            <w:tcW w:w="8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13,882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5,961</w:t>
            </w:r>
          </w:p>
        </w:tc>
        <w:tc>
          <w:tcPr>
            <w:tcW w:w="0" w:type="dxa"/>
            <w:vAlign w:val="bottom"/>
          </w:tcPr>
          <w:p>
            <w:pPr>
              <w:spacing w:after="0"/>
              <w:rPr>
                <w:sz w:val="1"/>
                <w:szCs w:val="1"/>
                <w:color w:val="auto"/>
              </w:rPr>
            </w:pPr>
          </w:p>
        </w:tc>
      </w:tr>
      <w:tr>
        <w:trPr>
          <w:trHeight w:val="223"/>
        </w:trPr>
        <w:tc>
          <w:tcPr>
            <w:tcW w:w="85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14,030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3,649</w:t>
            </w:r>
          </w:p>
        </w:tc>
        <w:tc>
          <w:tcPr>
            <w:tcW w:w="0" w:type="dxa"/>
            <w:vAlign w:val="bottom"/>
          </w:tcPr>
          <w:p>
            <w:pPr>
              <w:spacing w:after="0"/>
              <w:rPr>
                <w:sz w:val="1"/>
                <w:szCs w:val="1"/>
                <w:color w:val="auto"/>
              </w:rPr>
            </w:pPr>
          </w:p>
        </w:tc>
      </w:tr>
      <w:tr>
        <w:trPr>
          <w:trHeight w:val="223"/>
        </w:trPr>
        <w:tc>
          <w:tcPr>
            <w:tcW w:w="8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obsolescence</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38,144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17,310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inventory recognized as an expense during the year was $35,690,000 (2023: $22,620,000, 2022: $9,100,000).</w:t>
      </w:r>
    </w:p>
    <w:p>
      <w:pPr>
        <w:spacing w:after="0" w:line="22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Inventory manufactured as part of the TLX250-CDx (Zicarix)</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commercial manufacturing process qualification and validation has been capitalized as work in progress, with a corresponding provision for obsolescence recognized. This is on the basis that, prior to regulatory approval, the Group has not demonstrated that the batches produced can be sold commercially.</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15.</w:t>
        <w:tab/>
        <w:t>Other current assets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r>
      <w:tr>
        <w:trPr>
          <w:trHeight w:val="223"/>
        </w:trPr>
        <w:tc>
          <w:tcPr>
            <w:tcW w:w="46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4020" w:type="dxa"/>
            <w:vAlign w:val="bottom"/>
            <w:tcBorders>
              <w:bottom w:val="single" w:sz="8" w:color="auto"/>
              <w:right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2,600</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2,363</w:t>
            </w:r>
          </w:p>
        </w:tc>
      </w:tr>
      <w:tr>
        <w:trPr>
          <w:trHeight w:val="223"/>
        </w:trPr>
        <w:tc>
          <w:tcPr>
            <w:tcW w:w="4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GST receivables</w:t>
            </w:r>
          </w:p>
        </w:tc>
        <w:tc>
          <w:tcPr>
            <w:tcW w:w="40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7,435</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4,739</w:t>
            </w:r>
          </w:p>
        </w:tc>
      </w:tr>
      <w:tr>
        <w:trPr>
          <w:trHeight w:val="223"/>
        </w:trPr>
        <w:tc>
          <w:tcPr>
            <w:tcW w:w="46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4020" w:type="dxa"/>
            <w:vAlign w:val="bottom"/>
            <w:tcBorders>
              <w:bottom w:val="single" w:sz="8" w:color="auto"/>
              <w:right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11,080</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12,422</w:t>
            </w:r>
          </w:p>
        </w:tc>
      </w:tr>
      <w:tr>
        <w:trPr>
          <w:trHeight w:val="223"/>
        </w:trPr>
        <w:tc>
          <w:tcPr>
            <w:tcW w:w="4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other current assets</w:t>
            </w:r>
          </w:p>
        </w:tc>
        <w:tc>
          <w:tcPr>
            <w:tcW w:w="40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21,115</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19,524</w:t>
            </w:r>
          </w:p>
        </w:tc>
      </w:tr>
      <w:tr>
        <w:trPr>
          <w:trHeight w:val="310"/>
        </w:trPr>
        <w:tc>
          <w:tcPr>
            <w:tcW w:w="2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04"/>
        </w:trPr>
        <w:tc>
          <w:tcPr>
            <w:tcW w:w="24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Brand name subject to final regulatory approval.</w:t>
            </w:r>
          </w:p>
        </w:tc>
        <w:tc>
          <w:tcPr>
            <w:tcW w:w="4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1"/>
        </w:trPr>
        <w:tc>
          <w:tcPr>
            <w:tcW w:w="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380" w:type="dxa"/>
            <w:vAlign w:val="bottom"/>
            <w:gridSpan w:val="2"/>
          </w:tcPr>
          <w:p>
            <w:pPr>
              <w:jc w:val="right"/>
              <w:ind w:right="4210"/>
              <w:spacing w:after="0"/>
              <w:rPr>
                <w:sz w:val="20"/>
                <w:szCs w:val="20"/>
                <w:color w:val="auto"/>
              </w:rPr>
            </w:pPr>
            <w:r>
              <w:rPr>
                <w:rFonts w:ascii="Times New Roman" w:cs="Times New Roman" w:eastAsia="Times New Roman" w:hAnsi="Times New Roman"/>
                <w:sz w:val="14"/>
                <w:szCs w:val="14"/>
                <w:color w:val="auto"/>
              </w:rPr>
              <w:t>F-33</w:t>
            </w:r>
          </w:p>
        </w:tc>
        <w:tc>
          <w:tcPr>
            <w:tcW w:w="1180" w:type="dxa"/>
            <w:vAlign w:val="bottom"/>
          </w:tcPr>
          <w:p>
            <w:pPr>
              <w:spacing w:after="0"/>
              <w:rPr>
                <w:sz w:val="24"/>
                <w:szCs w:val="24"/>
                <w:color w:val="auto"/>
              </w:rPr>
            </w:pPr>
          </w:p>
        </w:tc>
      </w:tr>
      <w:tr>
        <w:trPr>
          <w:trHeight w:val="44"/>
        </w:trPr>
        <w:tc>
          <w:tcPr>
            <w:tcW w:w="24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278" w:name="page279"/>
    <w:bookmarkEnd w:id="2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16.  Financial assets</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7560" w:type="dxa"/>
            <w:vAlign w:val="bottom"/>
            <w:tcBorders>
              <w:right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75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85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Mauna Kea Technologies</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9,497</w:t>
            </w:r>
          </w:p>
        </w:tc>
        <w:tc>
          <w:tcPr>
            <w:tcW w:w="0" w:type="dxa"/>
            <w:vAlign w:val="bottom"/>
          </w:tcPr>
          <w:p>
            <w:pPr>
              <w:spacing w:after="0"/>
              <w:rPr>
                <w:sz w:val="1"/>
                <w:szCs w:val="1"/>
                <w:color w:val="auto"/>
              </w:rPr>
            </w:pPr>
          </w:p>
        </w:tc>
      </w:tr>
      <w:tr>
        <w:trPr>
          <w:trHeight w:val="223"/>
        </w:trPr>
        <w:tc>
          <w:tcPr>
            <w:tcW w:w="85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Investment in Atonco SAS</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2,696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80" w:type="dxa"/>
            <w:vAlign w:val="bottom"/>
            <w:tcBorders>
              <w:bottom w:val="single" w:sz="8" w:color="auto"/>
              <w:right w:val="single" w:sz="8" w:color="auto"/>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Investment in QSAM Biosciences</w:t>
            </w:r>
            <w:r>
              <w:rPr>
                <w:rFonts w:ascii="Times New Roman" w:cs="Times New Roman" w:eastAsia="Times New Roman" w:hAnsi="Times New Roman"/>
                <w:sz w:val="25"/>
                <w:szCs w:val="25"/>
                <w:color w:val="auto"/>
                <w:vertAlign w:val="superscript"/>
              </w:rPr>
              <w:t>1</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2,763</w:t>
            </w:r>
          </w:p>
        </w:tc>
        <w:tc>
          <w:tcPr>
            <w:tcW w:w="0" w:type="dxa"/>
            <w:vAlign w:val="bottom"/>
          </w:tcPr>
          <w:p>
            <w:pPr>
              <w:spacing w:after="0"/>
              <w:rPr>
                <w:sz w:val="1"/>
                <w:szCs w:val="1"/>
                <w:color w:val="auto"/>
              </w:rPr>
            </w:pPr>
          </w:p>
        </w:tc>
      </w:tr>
      <w:tr>
        <w:trPr>
          <w:trHeight w:val="263"/>
        </w:trPr>
        <w:tc>
          <w:tcPr>
            <w:tcW w:w="8580" w:type="dxa"/>
            <w:vAlign w:val="bottom"/>
            <w:tcBorders>
              <w:bottom w:val="single" w:sz="8" w:color="auto"/>
              <w:right w:val="single" w:sz="8" w:color="auto"/>
            </w:tcBorders>
            <w:gridSpan w:val="2"/>
          </w:tcPr>
          <w:p>
            <w:pPr>
              <w:spacing w:after="0" w:line="256" w:lineRule="exact"/>
              <w:rPr>
                <w:sz w:val="20"/>
                <w:szCs w:val="20"/>
                <w:color w:val="auto"/>
              </w:rPr>
            </w:pPr>
            <w:r>
              <w:rPr>
                <w:rFonts w:ascii="Times New Roman" w:cs="Times New Roman" w:eastAsia="Times New Roman" w:hAnsi="Times New Roman"/>
                <w:sz w:val="18"/>
                <w:szCs w:val="18"/>
                <w:color w:val="auto"/>
              </w:rPr>
              <w:t>Restricted cash</w:t>
            </w:r>
            <w:r>
              <w:rPr>
                <w:rFonts w:ascii="Times New Roman" w:cs="Times New Roman" w:eastAsia="Times New Roman" w:hAnsi="Times New Roman"/>
                <w:sz w:val="29"/>
                <w:szCs w:val="29"/>
                <w:color w:val="auto"/>
                <w:vertAlign w:val="superscript"/>
              </w:rPr>
              <w:t>2</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tcBorders>
              <w:bottom w:val="single" w:sz="8" w:color="auto"/>
            </w:tcBorders>
            <w:shd w:val="clear" w:color="auto" w:fill="000000"/>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56,093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12,260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20" w:hanging="388"/>
        <w:spacing w:after="0"/>
        <w:tabs>
          <w:tab w:leader="none" w:pos="72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was reclassified to intangible assets on completion of the QSAM asset acquisition, refer to note 21.3 for further details.</w:t>
      </w:r>
    </w:p>
    <w:p>
      <w:pPr>
        <w:spacing w:after="0" w:line="27" w:lineRule="exact"/>
        <w:rPr>
          <w:rFonts w:ascii="Times New Roman" w:cs="Times New Roman" w:eastAsia="Times New Roman" w:hAnsi="Times New Roman"/>
          <w:sz w:val="18"/>
          <w:szCs w:val="18"/>
          <w:color w:val="auto"/>
        </w:rPr>
      </w:pPr>
    </w:p>
    <w:p>
      <w:pPr>
        <w:ind w:left="720" w:right="20" w:hanging="388"/>
        <w:spacing w:after="0" w:line="290" w:lineRule="auto"/>
        <w:tabs>
          <w:tab w:leader="none" w:pos="720"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has paid a cash security deposit as part of the working capital facility agreement with HSBC Bank Australia Limited, the deposit is for a term longer than 90 days and as such it has been excluded from cash and cash equivalents (refer to note 23.2 for further details of this facility)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Atonco SAS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24, 2024, Telix subscribed to 194,805 new ordinary shares of Atonco SAS (Atonco) at a share price of €6.16 per share. In addition, the Group converted trade receivables owed by Atonco for a further 69,679 shares at a share price of €6.16 per share.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Telix owns 9.34% of the share capital and 9.34% of the voting rights of Atonco. The investment was designated at the date of acquisition as a financial asset valued at fair value through other comprehensive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recognized in other comprehensive income or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have been determined based on the quoted share prices (level 1 inputs) at December 31, 2024, resulting in a loss of $4,986,000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$895,000, 2022: $Nil) recognized in other comprehensive income or loss.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Deferred tax assets and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17.1.Deferred tax assets</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The balance comprises temporary differences attributable to:</w:t>
            </w:r>
          </w:p>
        </w:tc>
        <w:tc>
          <w:tcPr>
            <w:tcW w:w="1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losses</w:t>
            </w:r>
          </w:p>
        </w:tc>
        <w:tc>
          <w:tcPr>
            <w:tcW w:w="7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8,294</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7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2,791</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7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37,605</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10,976</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7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56,500</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24,372</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Set-off of deferred tax liabilities pursuant to set-off provisions</w:t>
            </w:r>
          </w:p>
        </w:tc>
        <w:tc>
          <w:tcPr>
            <w:tcW w:w="1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7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46,737</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20,452</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Tax</w:t>
            </w:r>
          </w:p>
        </w:tc>
        <w:tc>
          <w:tcPr>
            <w:tcW w:w="2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2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Employee benefit</w:t>
            </w:r>
          </w:p>
        </w:tc>
        <w:tc>
          <w:tcPr>
            <w:tcW w:w="2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Lease</w:t>
            </w:r>
          </w:p>
        </w:tc>
        <w:tc>
          <w:tcPr>
            <w:tcW w:w="4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Other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178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vMerge w:val="continue"/>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128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80" w:type="dxa"/>
            <w:vAlign w:val="bottom"/>
            <w:vMerge w:val="continue"/>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78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 w:type="dxa"/>
            <w:vAlign w:val="bottom"/>
            <w:shd w:val="clear" w:color="auto" w:fill="000000"/>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000000"/>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obligations</w:t>
            </w:r>
          </w:p>
        </w:tc>
        <w:tc>
          <w:tcPr>
            <w:tcW w:w="20" w:type="dxa"/>
            <w:vAlign w:val="bottom"/>
            <w:shd w:val="clear" w:color="auto" w:fill="000000"/>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shd w:val="clear" w:color="auto" w:fill="000000"/>
          </w:tcPr>
          <w:p>
            <w:pPr>
              <w:spacing w:after="0"/>
              <w:rPr>
                <w:sz w:val="11"/>
                <w:szCs w:val="11"/>
                <w:color w:val="auto"/>
              </w:rPr>
            </w:pP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80" w:type="dxa"/>
            <w:vAlign w:val="bottom"/>
            <w:vMerge w:val="continue"/>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78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30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300" w:type="dxa"/>
            <w:vAlign w:val="bottom"/>
            <w:tcBorders>
              <w:bottom w:val="single" w:sz="8" w:color="auto"/>
            </w:tcBorders>
            <w:vMerge w:val="continue"/>
          </w:tcPr>
          <w:p>
            <w:pPr>
              <w:spacing w:after="0"/>
              <w:rPr>
                <w:sz w:val="10"/>
                <w:szCs w:val="10"/>
                <w:color w:val="auto"/>
              </w:rPr>
            </w:pPr>
          </w:p>
        </w:tc>
        <w:tc>
          <w:tcPr>
            <w:tcW w:w="40" w:type="dxa"/>
            <w:vAlign w:val="bottom"/>
            <w:tcBorders>
              <w:bottom w:val="single" w:sz="8" w:color="auto"/>
            </w:tcBorders>
            <w:shd w:val="clear" w:color="auto" w:fill="000000"/>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shd w:val="clear" w:color="auto" w:fill="000000"/>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78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Deferred tax assets</w:t>
            </w: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7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movements</w:t>
            </w:r>
          </w:p>
        </w:tc>
        <w:tc>
          <w:tcPr>
            <w:tcW w:w="5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0" w:type="dxa"/>
            <w:vAlign w:val="bottom"/>
            <w:tcBorders>
              <w:bottom w:val="single" w:sz="8" w:color="auto"/>
            </w:tcBorders>
            <w:shd w:val="clear" w:color="auto" w:fill="000000"/>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shd w:val="clear" w:color="auto" w:fill="000000"/>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0" w:type="dxa"/>
            <w:vAlign w:val="bottom"/>
            <w:tcBorders>
              <w:bottom w:val="single" w:sz="8" w:color="auto"/>
            </w:tcBorders>
            <w:shd w:val="clear" w:color="auto" w:fill="000000"/>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198"/>
        </w:trPr>
        <w:tc>
          <w:tcPr>
            <w:tcW w:w="17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The balance comprises</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temporary</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shd w:val="clear" w:color="auto" w:fill="000000"/>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shd w:val="clear" w:color="auto" w:fill="000000"/>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differences</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shd w:val="clear" w:color="auto" w:fill="000000"/>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shd w:val="clear" w:color="auto" w:fill="000000"/>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attributable to:</w:t>
            </w:r>
          </w:p>
        </w:tc>
        <w:tc>
          <w:tcPr>
            <w:tcW w:w="5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shd w:val="clear" w:color="auto" w:fill="000000"/>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shd w:val="clear" w:color="auto" w:fill="000000"/>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780" w:type="dxa"/>
            <w:vAlign w:val="bottom"/>
            <w:tcBorders>
              <w:right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78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8,294</w:t>
            </w:r>
          </w:p>
        </w:tc>
        <w:tc>
          <w:tcPr>
            <w:tcW w:w="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2,791</w:t>
            </w: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1,780</w:t>
            </w:r>
          </w:p>
        </w:tc>
        <w:tc>
          <w:tcPr>
            <w:tcW w:w="40" w:type="dxa"/>
            <w:vAlign w:val="bottom"/>
            <w:tcBorders>
              <w:bottom w:val="single" w:sz="8" w:color="auto"/>
            </w:tcBorders>
            <w:shd w:val="clear" w:color="auto" w:fill="000000"/>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10,976</w:t>
            </w:r>
          </w:p>
        </w:tc>
        <w:tc>
          <w:tcPr>
            <w:tcW w:w="40" w:type="dxa"/>
            <w:vAlign w:val="bottom"/>
            <w:tcBorders>
              <w:bottom w:val="single" w:sz="8" w:color="auto"/>
            </w:tcBorders>
            <w:gridSpan w:val="2"/>
            <w:shd w:val="clear" w:color="auto" w:fill="000000"/>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24,372</w:t>
            </w:r>
          </w:p>
        </w:tc>
        <w:tc>
          <w:tcPr>
            <w:tcW w:w="0" w:type="dxa"/>
            <w:vAlign w:val="bottom"/>
          </w:tcPr>
          <w:p>
            <w:pPr>
              <w:spacing w:after="0"/>
              <w:rPr>
                <w:sz w:val="1"/>
                <w:szCs w:val="1"/>
                <w:color w:val="auto"/>
              </w:rPr>
            </w:pPr>
          </w:p>
        </w:tc>
      </w:tr>
      <w:tr>
        <w:trPr>
          <w:trHeight w:val="223"/>
        </w:trPr>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(Charged)/credited:</w:t>
            </w: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 profit and loss</w:t>
            </w:r>
          </w:p>
        </w:tc>
        <w:tc>
          <w:tcPr>
            <w:tcW w:w="5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20" w:type="dxa"/>
            <w:vAlign w:val="bottom"/>
            <w:tcBorders>
              <w:bottom w:val="single" w:sz="8" w:color="auto"/>
            </w:tcBorders>
            <w:shd w:val="clear" w:color="auto" w:fill="000000"/>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26,629</w:t>
            </w:r>
          </w:p>
        </w:tc>
        <w:tc>
          <w:tcPr>
            <w:tcW w:w="40" w:type="dxa"/>
            <w:vAlign w:val="bottom"/>
            <w:tcBorders>
              <w:bottom w:val="single" w:sz="8" w:color="auto"/>
            </w:tcBorders>
            <w:gridSpan w:val="2"/>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32,128</w:t>
            </w:r>
          </w:p>
        </w:tc>
        <w:tc>
          <w:tcPr>
            <w:tcW w:w="0" w:type="dxa"/>
            <w:vAlign w:val="bottom"/>
          </w:tcPr>
          <w:p>
            <w:pPr>
              <w:spacing w:after="0"/>
              <w:rPr>
                <w:sz w:val="1"/>
                <w:szCs w:val="1"/>
                <w:color w:val="auto"/>
              </w:rPr>
            </w:pPr>
          </w:p>
        </w:tc>
      </w:tr>
      <w:tr>
        <w:trPr>
          <w:trHeight w:val="194"/>
        </w:trPr>
        <w:tc>
          <w:tcPr>
            <w:tcW w:w="178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December</w:t>
            </w: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7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5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1,877</w:t>
            </w: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6,466</w:t>
            </w: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2,030</w:t>
            </w:r>
          </w:p>
        </w:tc>
        <w:tc>
          <w:tcPr>
            <w:tcW w:w="40" w:type="dxa"/>
            <w:vAlign w:val="bottom"/>
            <w:tcBorders>
              <w:bottom w:val="single" w:sz="8" w:color="auto"/>
            </w:tcBorders>
            <w:shd w:val="clear" w:color="auto" w:fill="000000"/>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37,605</w:t>
            </w:r>
          </w:p>
        </w:tc>
        <w:tc>
          <w:tcPr>
            <w:tcW w:w="40" w:type="dxa"/>
            <w:vAlign w:val="bottom"/>
            <w:tcBorders>
              <w:bottom w:val="single" w:sz="8" w:color="auto"/>
            </w:tcBorders>
            <w:gridSpan w:val="2"/>
            <w:shd w:val="clear" w:color="auto" w:fill="000000"/>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8,522</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56,500</w:t>
            </w:r>
          </w:p>
        </w:tc>
        <w:tc>
          <w:tcPr>
            <w:tcW w:w="0" w:type="dxa"/>
            <w:vAlign w:val="bottom"/>
          </w:tcPr>
          <w:p>
            <w:pPr>
              <w:spacing w:after="0"/>
              <w:rPr>
                <w:sz w:val="1"/>
                <w:szCs w:val="1"/>
                <w:color w:val="auto"/>
              </w:rPr>
            </w:pPr>
          </w:p>
        </w:tc>
      </w:tr>
      <w:tr>
        <w:trPr>
          <w:trHeight w:val="223"/>
        </w:trPr>
        <w:tc>
          <w:tcPr>
            <w:tcW w:w="1780" w:type="dxa"/>
            <w:vAlign w:val="bottom"/>
            <w:tcBorders>
              <w:bottom w:val="single" w:sz="8" w:color="auto"/>
              <w:right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78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7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4,400</w:t>
            </w: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2,434</w:t>
            </w:r>
          </w:p>
        </w:tc>
        <w:tc>
          <w:tcPr>
            <w:tcW w:w="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1,052</w:t>
            </w: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w:t>
            </w:r>
          </w:p>
        </w:tc>
        <w:tc>
          <w:tcPr>
            <w:tcW w:w="40" w:type="dxa"/>
            <w:vAlign w:val="bottom"/>
            <w:tcBorders>
              <w:bottom w:val="single" w:sz="8" w:color="auto"/>
            </w:tcBorders>
            <w:shd w:val="clear" w:color="auto" w:fill="000000"/>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c>
          <w:tcPr>
            <w:tcW w:w="40" w:type="dxa"/>
            <w:vAlign w:val="bottom"/>
            <w:tcBorders>
              <w:bottom w:val="single" w:sz="8" w:color="auto"/>
            </w:tcBorders>
            <w:gridSpan w:val="2"/>
            <w:shd w:val="clear" w:color="auto" w:fill="000000"/>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9,209</w:t>
            </w:r>
          </w:p>
        </w:tc>
        <w:tc>
          <w:tcPr>
            <w:tcW w:w="0" w:type="dxa"/>
            <w:vAlign w:val="bottom"/>
          </w:tcPr>
          <w:p>
            <w:pPr>
              <w:spacing w:after="0"/>
              <w:rPr>
                <w:sz w:val="1"/>
                <w:szCs w:val="1"/>
                <w:color w:val="auto"/>
              </w:rPr>
            </w:pPr>
          </w:p>
        </w:tc>
      </w:tr>
      <w:tr>
        <w:trPr>
          <w:trHeight w:val="223"/>
        </w:trPr>
        <w:tc>
          <w:tcPr>
            <w:tcW w:w="17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(Charged)/credited:</w:t>
            </w:r>
          </w:p>
        </w:tc>
        <w:tc>
          <w:tcPr>
            <w:tcW w:w="5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 profit and loss</w:t>
            </w: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20" w:type="dxa"/>
            <w:vAlign w:val="bottom"/>
            <w:tcBorders>
              <w:bottom w:val="single" w:sz="8" w:color="auto"/>
            </w:tcBorders>
            <w:shd w:val="clear" w:color="auto" w:fill="000000"/>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10,613</w:t>
            </w:r>
          </w:p>
        </w:tc>
        <w:tc>
          <w:tcPr>
            <w:tcW w:w="40" w:type="dxa"/>
            <w:vAlign w:val="bottom"/>
            <w:tcBorders>
              <w:bottom w:val="single" w:sz="8" w:color="auto"/>
            </w:tcBorders>
            <w:gridSpan w:val="2"/>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15,163</w:t>
            </w:r>
          </w:p>
        </w:tc>
        <w:tc>
          <w:tcPr>
            <w:tcW w:w="0" w:type="dxa"/>
            <w:vAlign w:val="bottom"/>
          </w:tcPr>
          <w:p>
            <w:pPr>
              <w:spacing w:after="0"/>
              <w:rPr>
                <w:sz w:val="1"/>
                <w:szCs w:val="1"/>
                <w:color w:val="auto"/>
              </w:rPr>
            </w:pPr>
          </w:p>
        </w:tc>
      </w:tr>
      <w:tr>
        <w:trPr>
          <w:trHeight w:val="194"/>
        </w:trPr>
        <w:tc>
          <w:tcPr>
            <w:tcW w:w="1780" w:type="dxa"/>
            <w:vAlign w:val="bottom"/>
            <w:tcBorders>
              <w:right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December</w:t>
            </w: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78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5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8,294</w:t>
            </w:r>
          </w:p>
        </w:tc>
        <w:tc>
          <w:tcPr>
            <w:tcW w:w="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2,791</w:t>
            </w: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1,780</w:t>
            </w:r>
          </w:p>
        </w:tc>
        <w:tc>
          <w:tcPr>
            <w:tcW w:w="40" w:type="dxa"/>
            <w:vAlign w:val="bottom"/>
            <w:tcBorders>
              <w:bottom w:val="single" w:sz="8" w:color="auto"/>
            </w:tcBorders>
            <w:shd w:val="clear" w:color="auto" w:fill="000000"/>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10,976</w:t>
            </w:r>
          </w:p>
        </w:tc>
        <w:tc>
          <w:tcPr>
            <w:tcW w:w="40" w:type="dxa"/>
            <w:vAlign w:val="bottom"/>
            <w:tcBorders>
              <w:bottom w:val="single" w:sz="8" w:color="auto"/>
            </w:tcBorders>
            <w:gridSpan w:val="2"/>
            <w:shd w:val="clear" w:color="auto" w:fill="000000"/>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24,372</w:t>
            </w:r>
          </w:p>
        </w:tc>
        <w:tc>
          <w:tcPr>
            <w:tcW w:w="0" w:type="dxa"/>
            <w:vAlign w:val="bottom"/>
          </w:tcPr>
          <w:p>
            <w:pPr>
              <w:spacing w:after="0"/>
              <w:rPr>
                <w:sz w:val="1"/>
                <w:szCs w:val="1"/>
                <w:color w:val="auto"/>
              </w:rPr>
            </w:pPr>
          </w:p>
        </w:tc>
      </w:tr>
      <w:tr>
        <w:trPr>
          <w:trHeight w:val="570"/>
        </w:trPr>
        <w:tc>
          <w:tcPr>
            <w:tcW w:w="1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F-35</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7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280" w:name="page281"/>
    <w:bookmarkEnd w:id="2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0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17.2.Deferred tax liabilities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24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4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The balance comprises temporary differences attributable to:</w:t>
            </w: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11,172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2,374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exchange gains</w:t>
            </w:r>
          </w:p>
        </w:tc>
        <w:tc>
          <w:tcPr>
            <w:tcW w:w="10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19,144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3,920</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Set-off of deferred tax assets pursuant to set-off provisions</w:t>
            </w:r>
          </w:p>
        </w:tc>
        <w:tc>
          <w:tcPr>
            <w:tcW w:w="10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9,381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20" w:type="dxa"/>
            <w:vAlign w:val="bottom"/>
          </w:tcPr>
          <w:p>
            <w:pPr>
              <w:spacing w:after="0"/>
              <w:rPr>
                <w:sz w:val="18"/>
                <w:szCs w:val="18"/>
                <w:color w:val="auto"/>
              </w:rPr>
            </w:pPr>
          </w:p>
        </w:tc>
        <w:tc>
          <w:tcPr>
            <w:tcW w:w="1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Right-of-use</w:t>
            </w:r>
          </w:p>
        </w:tc>
        <w:tc>
          <w:tcPr>
            <w:tcW w:w="20" w:type="dxa"/>
            <w:vAlign w:val="bottom"/>
          </w:tcPr>
          <w:p>
            <w:pPr>
              <w:spacing w:after="0"/>
              <w:rPr>
                <w:sz w:val="18"/>
                <w:szCs w:val="18"/>
                <w:color w:val="auto"/>
              </w:rPr>
            </w:pPr>
          </w:p>
        </w:tc>
        <w:tc>
          <w:tcPr>
            <w:tcW w:w="1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 foreign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46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466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bottom w:val="single" w:sz="8" w:color="auto"/>
            </w:tcBorders>
            <w:shd w:val="clear" w:color="auto" w:fill="000000"/>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exchange gains</w:t>
            </w:r>
          </w:p>
        </w:tc>
        <w:tc>
          <w:tcPr>
            <w:tcW w:w="20" w:type="dxa"/>
            <w:vAlign w:val="bottom"/>
            <w:tcBorders>
              <w:bottom w:val="single" w:sz="8" w:color="auto"/>
            </w:tcBorders>
            <w:shd w:val="clear" w:color="auto" w:fill="000000"/>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 movements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shd w:val="clear" w:color="auto" w:fill="000000"/>
          </w:tcPr>
          <w:p>
            <w:pPr>
              <w:spacing w:after="0"/>
              <w:rPr>
                <w:sz w:val="19"/>
                <w:szCs w:val="19"/>
                <w:color w:val="auto"/>
              </w:rPr>
            </w:pPr>
          </w:p>
        </w:tc>
        <w:tc>
          <w:tcPr>
            <w:tcW w:w="160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 balance comprises temporary differences attributable to:</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2,376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1,544</w:t>
            </w:r>
          </w:p>
        </w:tc>
        <w:tc>
          <w:tcPr>
            <w:tcW w:w="20" w:type="dxa"/>
            <w:vAlign w:val="bottom"/>
            <w:tcBorders>
              <w:bottom w:val="single" w:sz="8" w:color="auto"/>
            </w:tcBorders>
            <w:shd w:val="clear" w:color="auto" w:fill="000000"/>
          </w:tcPr>
          <w:p>
            <w:pPr>
              <w:spacing w:after="0"/>
              <w:rPr>
                <w:sz w:val="19"/>
                <w:szCs w:val="19"/>
                <w:color w:val="auto"/>
              </w:rPr>
            </w:pPr>
          </w:p>
        </w:tc>
        <w:tc>
          <w:tcPr>
            <w:tcW w:w="160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3,920</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Charged/(credited):</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 acquisition</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9,381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60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9,381</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 profit and loss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830</w:t>
            </w:r>
          </w:p>
        </w:tc>
        <w:tc>
          <w:tcPr>
            <w:tcW w:w="20" w:type="dxa"/>
            <w:vAlign w:val="bottom"/>
            <w:tcBorders>
              <w:bottom w:val="single" w:sz="8" w:color="auto"/>
            </w:tcBorders>
            <w:shd w:val="clear" w:color="auto" w:fill="000000"/>
          </w:tcPr>
          <w:p>
            <w:pPr>
              <w:spacing w:after="0"/>
              <w:rPr>
                <w:sz w:val="19"/>
                <w:szCs w:val="19"/>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5,598</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5,843</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11,172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2,374</w:t>
            </w:r>
          </w:p>
        </w:tc>
        <w:tc>
          <w:tcPr>
            <w:tcW w:w="20" w:type="dxa"/>
            <w:vAlign w:val="bottom"/>
            <w:tcBorders>
              <w:bottom w:val="single" w:sz="8" w:color="auto"/>
            </w:tcBorders>
            <w:shd w:val="clear" w:color="auto" w:fill="000000"/>
          </w:tcPr>
          <w:p>
            <w:pPr>
              <w:spacing w:after="0"/>
              <w:rPr>
                <w:sz w:val="19"/>
                <w:szCs w:val="19"/>
                <w:color w:val="auto"/>
              </w:rPr>
            </w:pPr>
          </w:p>
        </w:tc>
        <w:tc>
          <w:tcPr>
            <w:tcW w:w="160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5,598</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19,144</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600" w:type="dxa"/>
            <w:vAlign w:val="bottom"/>
            <w:tcBorders>
              <w:bottom w:val="single" w:sz="8" w:color="auto"/>
            </w:tcBorders>
            <w:gridSpan w:val="3"/>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3,634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1,604</w:t>
            </w:r>
          </w:p>
        </w:tc>
        <w:tc>
          <w:tcPr>
            <w:tcW w:w="20" w:type="dxa"/>
            <w:vAlign w:val="bottom"/>
            <w:tcBorders>
              <w:bottom w:val="single" w:sz="8" w:color="auto"/>
            </w:tcBorders>
            <w:shd w:val="clear" w:color="auto" w:fill="000000"/>
          </w:tcPr>
          <w:p>
            <w:pPr>
              <w:spacing w:after="0"/>
              <w:rPr>
                <w:sz w:val="19"/>
                <w:szCs w:val="19"/>
                <w:color w:val="auto"/>
              </w:rPr>
            </w:pPr>
          </w:p>
        </w:tc>
        <w:tc>
          <w:tcPr>
            <w:tcW w:w="160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5,238</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Charged/(credited):</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 profit and loss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Borders>
              <w:bottom w:val="single" w:sz="8" w:color="auto"/>
            </w:tcBorders>
            <w:shd w:val="clear" w:color="auto" w:fill="000000"/>
          </w:tcPr>
          <w:p>
            <w:pPr>
              <w:spacing w:after="0"/>
              <w:rPr>
                <w:sz w:val="19"/>
                <w:szCs w:val="19"/>
                <w:color w:val="auto"/>
              </w:rPr>
            </w:pPr>
          </w:p>
        </w:tc>
        <w:tc>
          <w:tcPr>
            <w:tcW w:w="160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2,376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1,544</w:t>
            </w:r>
          </w:p>
        </w:tc>
        <w:tc>
          <w:tcPr>
            <w:tcW w:w="20" w:type="dxa"/>
            <w:vAlign w:val="bottom"/>
            <w:tcBorders>
              <w:bottom w:val="single" w:sz="8" w:color="auto"/>
            </w:tcBorders>
            <w:shd w:val="clear" w:color="auto" w:fill="000000"/>
          </w:tcPr>
          <w:p>
            <w:pPr>
              <w:spacing w:after="0"/>
              <w:rPr>
                <w:sz w:val="19"/>
                <w:szCs w:val="19"/>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3,920</w:t>
            </w:r>
          </w:p>
        </w:tc>
        <w:tc>
          <w:tcPr>
            <w:tcW w:w="0" w:type="dxa"/>
            <w:vAlign w:val="bottom"/>
          </w:tcPr>
          <w:p>
            <w:pPr>
              <w:spacing w:after="0"/>
              <w:rPr>
                <w:sz w:val="1"/>
                <w:szCs w:val="1"/>
                <w:color w:val="auto"/>
              </w:rPr>
            </w:pPr>
          </w:p>
        </w:tc>
      </w:tr>
      <w:tr>
        <w:trPr>
          <w:trHeight w:val="432"/>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17.3.Unrecognized deferred tax assets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composition of the Group’s unrecognized deferred tax assets is as follows: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Unrecognized deferred tax assets</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gridSpan w:val="2"/>
            <w:vMerge w:val="restart"/>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920" w:type="dxa"/>
            <w:vAlign w:val="bottom"/>
            <w:gridSpan w:val="3"/>
            <w:vMerge w:val="continue"/>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gridSpan w:val="3"/>
            <w:vMerge w:val="continue"/>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losses and tax credits</w:t>
            </w:r>
          </w:p>
        </w:tc>
        <w:tc>
          <w:tcPr>
            <w:tcW w:w="10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152,135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84,412</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Temporary differences in relation to provisions</w:t>
            </w: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Temporary differences in relation to employee benefit obligations</w:t>
            </w:r>
          </w:p>
        </w:tc>
        <w:tc>
          <w:tcPr>
            <w:tcW w:w="10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Temporary differences in relation to intangible assets</w:t>
            </w: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Temporary differences in relation to inventories</w:t>
            </w:r>
          </w:p>
        </w:tc>
        <w:tc>
          <w:tcPr>
            <w:tcW w:w="10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Temporary differences in relation to lease liabilities</w:t>
            </w: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Temporary differences in relation to share-based payments</w:t>
            </w:r>
          </w:p>
        </w:tc>
        <w:tc>
          <w:tcPr>
            <w:tcW w:w="10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31,929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8,940</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unrecognized deferred tax assets</w:t>
            </w: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188,333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93,872</w:t>
            </w:r>
          </w:p>
        </w:tc>
        <w:tc>
          <w:tcPr>
            <w:tcW w:w="0" w:type="dxa"/>
            <w:vAlign w:val="bottom"/>
          </w:tcPr>
          <w:p>
            <w:pPr>
              <w:spacing w:after="0"/>
              <w:rPr>
                <w:sz w:val="1"/>
                <w:szCs w:val="1"/>
                <w:color w:val="auto"/>
              </w:rPr>
            </w:pPr>
          </w:p>
        </w:tc>
      </w:tr>
      <w:tr>
        <w:trPr>
          <w:trHeight w:val="571"/>
        </w:trPr>
        <w:tc>
          <w:tcPr>
            <w:tcW w:w="1020" w:type="dxa"/>
            <w:vAlign w:val="bottom"/>
          </w:tcPr>
          <w:p>
            <w:pPr>
              <w:spacing w:after="0"/>
              <w:rPr>
                <w:sz w:val="24"/>
                <w:szCs w:val="24"/>
                <w:color w:val="auto"/>
              </w:rPr>
            </w:pPr>
          </w:p>
        </w:tc>
        <w:tc>
          <w:tcPr>
            <w:tcW w:w="4900" w:type="dxa"/>
            <w:vAlign w:val="bottom"/>
            <w:gridSpan w:val="2"/>
          </w:tcPr>
          <w:p>
            <w:pPr>
              <w:ind w:left="4460"/>
              <w:spacing w:after="0"/>
              <w:rPr>
                <w:sz w:val="20"/>
                <w:szCs w:val="20"/>
                <w:color w:val="auto"/>
              </w:rPr>
            </w:pPr>
            <w:r>
              <w:rPr>
                <w:rFonts w:ascii="Times New Roman" w:cs="Times New Roman" w:eastAsia="Times New Roman" w:hAnsi="Times New Roman"/>
                <w:sz w:val="14"/>
                <w:szCs w:val="14"/>
                <w:color w:val="auto"/>
              </w:rPr>
              <w:t>F-36</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4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281" w:name="page282"/>
    <w:bookmarkEnd w:id="2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4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17.4.Unrecognized tax losses</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Unused tax losses and carried forward tax credits for which no deferred tax asset has been</w:t>
            </w:r>
          </w:p>
        </w:tc>
        <w:tc>
          <w:tcPr>
            <w:tcW w:w="40" w:type="dxa"/>
            <w:vAlign w:val="bottom"/>
          </w:tcPr>
          <w:p>
            <w:pPr>
              <w:spacing w:after="0"/>
              <w:rPr>
                <w:sz w:val="18"/>
                <w:szCs w:val="18"/>
                <w:color w:val="auto"/>
              </w:rPr>
            </w:pPr>
          </w:p>
        </w:tc>
        <w:tc>
          <w:tcPr>
            <w:tcW w:w="134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7200" w:type="dxa"/>
            <w:vAlign w:val="bottom"/>
            <w:gridSpan w:val="5"/>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gridSpan w:val="3"/>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7200" w:type="dxa"/>
            <w:vAlign w:val="bottom"/>
            <w:gridSpan w:val="5"/>
            <w:vMerge w:val="continue"/>
          </w:tcPr>
          <w:p>
            <w:pPr>
              <w:spacing w:after="0"/>
              <w:rPr>
                <w:sz w:val="14"/>
                <w:szCs w:val="14"/>
                <w:color w:val="auto"/>
              </w:rPr>
            </w:pPr>
          </w:p>
        </w:tc>
        <w:tc>
          <w:tcPr>
            <w:tcW w:w="40" w:type="dxa"/>
            <w:vAlign w:val="bottom"/>
            <w:shd w:val="clear" w:color="auto" w:fill="00000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jc w:val="right"/>
              <w:ind w:right="30"/>
              <w:spacing w:after="0" w:line="167" w:lineRule="exact"/>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shd w:val="clear" w:color="auto" w:fill="000000"/>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jc w:val="right"/>
              <w:ind w:right="30"/>
              <w:spacing w:after="0" w:line="167" w:lineRule="exact"/>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shd w:val="clear" w:color="auto" w:fill="000000"/>
          </w:tcPr>
          <w:p>
            <w:pPr>
              <w:spacing w:after="0"/>
              <w:rPr>
                <w:sz w:val="14"/>
                <w:szCs w:val="14"/>
                <w:color w:val="auto"/>
              </w:rPr>
            </w:pPr>
          </w:p>
        </w:tc>
        <w:tc>
          <w:tcPr>
            <w:tcW w:w="1300" w:type="dxa"/>
            <w:vAlign w:val="bottom"/>
          </w:tcPr>
          <w:p>
            <w:pPr>
              <w:jc w:val="right"/>
              <w:ind w:right="10"/>
              <w:spacing w:after="0" w:line="167" w:lineRule="exact"/>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56"/>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recognized:</w:t>
            </w: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 w:type="dxa"/>
            <w:vAlign w:val="bottom"/>
            <w:tcBorders>
              <w:bottom w:val="single" w:sz="8" w:color="auto"/>
            </w:tcBorders>
            <w:shd w:val="clear" w:color="auto" w:fill="000000"/>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500" w:type="dxa"/>
            <w:vAlign w:val="bottom"/>
            <w:gridSpan w:val="2"/>
            <w:vMerge w:val="continue"/>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shd w:val="clear" w:color="auto" w:fill="00000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020" w:type="dxa"/>
            <w:vAlign w:val="bottom"/>
            <w:tcBorders>
              <w:bottom w:val="single" w:sz="8" w:color="auto"/>
            </w:tcBorders>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shd w:val="clear" w:color="auto" w:fill="00000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13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140,673</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82,908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61,330</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countries</w:t>
            </w:r>
          </w:p>
        </w:tc>
        <w:tc>
          <w:tcPr>
            <w:tcW w:w="1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11,462</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1,504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Unrecognized income tax benefit</w:t>
            </w:r>
          </w:p>
        </w:tc>
        <w:tc>
          <w:tcPr>
            <w:tcW w:w="13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152,135</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84,412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62,833</w:t>
            </w:r>
          </w:p>
        </w:tc>
        <w:tc>
          <w:tcPr>
            <w:tcW w:w="0" w:type="dxa"/>
            <w:vAlign w:val="bottom"/>
          </w:tcPr>
          <w:p>
            <w:pPr>
              <w:spacing w:after="0"/>
              <w:rPr>
                <w:sz w:val="1"/>
                <w:szCs w:val="1"/>
                <w:color w:val="auto"/>
              </w:rPr>
            </w:pP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18.  Property, plant and equipment</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Land</w:t>
            </w:r>
          </w:p>
        </w:tc>
        <w:tc>
          <w:tcPr>
            <w:tcW w:w="2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Plant</w:t>
            </w:r>
          </w:p>
        </w:tc>
        <w:tc>
          <w:tcPr>
            <w:tcW w:w="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Furniture,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3480" w:type="dxa"/>
            <w:vAlign w:val="bottom"/>
            <w:tcBorders>
              <w:right w:val="single" w:sz="8" w:color="auto"/>
            </w:tcBorders>
          </w:tcPr>
          <w:p>
            <w:pPr>
              <w:spacing w:after="0"/>
              <w:rPr>
                <w:sz w:val="16"/>
                <w:szCs w:val="16"/>
                <w:color w:val="auto"/>
              </w:rPr>
            </w:pPr>
          </w:p>
        </w:tc>
        <w:tc>
          <w:tcPr>
            <w:tcW w:w="138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and</w:t>
            </w:r>
          </w:p>
        </w:tc>
        <w:tc>
          <w:tcPr>
            <w:tcW w:w="20" w:type="dxa"/>
            <w:vAlign w:val="bottom"/>
            <w:shd w:val="clear" w:color="auto" w:fill="000000"/>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and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fittings and</w:t>
            </w:r>
          </w:p>
        </w:tc>
        <w:tc>
          <w:tcPr>
            <w:tcW w:w="20" w:type="dxa"/>
            <w:vAlign w:val="bottom"/>
            <w:shd w:val="clear" w:color="auto" w:fill="000000"/>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20" w:type="dxa"/>
            <w:vAlign w:val="bottom"/>
            <w:shd w:val="clear" w:color="auto" w:fill="000000"/>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3480" w:type="dxa"/>
            <w:vAlign w:val="bottom"/>
            <w:tcBorders>
              <w:right w:val="single" w:sz="8" w:color="auto"/>
            </w:tcBorders>
          </w:tcPr>
          <w:p>
            <w:pPr>
              <w:spacing w:after="0"/>
              <w:rPr>
                <w:sz w:val="21"/>
                <w:szCs w:val="21"/>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20" w:type="dxa"/>
            <w:vAlign w:val="bottom"/>
            <w:tcBorders>
              <w:bottom w:val="single" w:sz="8" w:color="auto"/>
            </w:tcBorders>
            <w:shd w:val="clear" w:color="auto" w:fill="000000"/>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34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20,442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6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680</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23,170</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60" w:type="dxa"/>
            <w:vAlign w:val="bottom"/>
            <w:tcBorders>
              <w:bottom w:val="single" w:sz="8" w:color="auto"/>
            </w:tcBorders>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2,230</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14,322</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Acquisition of businesses</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6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2,322</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Borders>
              <w:bottom w:val="single" w:sz="8" w:color="auto"/>
            </w:tcBorders>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Changes in provisions</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5,408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5,408</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charge</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60" w:type="dxa"/>
            <w:vAlign w:val="bottom"/>
            <w:tcBorders>
              <w:bottom w:val="single" w:sz="8" w:color="auto"/>
            </w:tcBorders>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6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25,938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13,514</w:t>
            </w:r>
          </w:p>
        </w:tc>
        <w:tc>
          <w:tcPr>
            <w:tcW w:w="60" w:type="dxa"/>
            <w:vAlign w:val="bottom"/>
            <w:tcBorders>
              <w:bottom w:val="single" w:sz="8" w:color="auto"/>
            </w:tcBorders>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2,938</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2,559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44,949</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Cost</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26,248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14,231</w:t>
            </w:r>
          </w:p>
        </w:tc>
        <w:tc>
          <w:tcPr>
            <w:tcW w:w="6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4,331</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3,264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48,074</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60" w:type="dxa"/>
            <w:vAlign w:val="bottom"/>
            <w:tcBorders>
              <w:bottom w:val="single" w:sz="8" w:color="auto"/>
            </w:tcBorders>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amount</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25,938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13,514</w:t>
            </w:r>
          </w:p>
        </w:tc>
        <w:tc>
          <w:tcPr>
            <w:tcW w:w="6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2,938</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2,559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44,949</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shd w:val="clear" w:color="auto" w:fill="CCEEFF"/>
          </w:tcPr>
          <w:p>
            <w:pPr>
              <w:spacing w:after="0"/>
              <w:rPr>
                <w:sz w:val="19"/>
                <w:szCs w:val="19"/>
                <w:color w:val="auto"/>
              </w:rPr>
            </w:pPr>
          </w:p>
        </w:tc>
        <w:tc>
          <w:tcPr>
            <w:tcW w:w="348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at January 1, 2023</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9,611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w:t>
            </w:r>
          </w:p>
        </w:tc>
        <w:tc>
          <w:tcPr>
            <w:tcW w:w="6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441</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1,404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12,032</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8,912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Borders>
              <w:bottom w:val="single" w:sz="8" w:color="auto"/>
            </w:tcBorders>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9,679</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Acquisition of businesses</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bottom w:val="single" w:sz="8" w:color="auto"/>
            </w:tcBorders>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2,357</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Depreciation charge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bottom w:val="single" w:sz="8" w:color="auto"/>
            </w:tcBorders>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20,442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6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680</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23,170</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20,752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60" w:type="dxa"/>
            <w:vAlign w:val="bottom"/>
            <w:tcBorders>
              <w:bottom w:val="single" w:sz="8" w:color="auto"/>
            </w:tcBorders>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1,600</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25,155</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6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amount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20,442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60" w:type="dxa"/>
            <w:vAlign w:val="bottom"/>
            <w:tcBorders>
              <w:bottom w:val="single" w:sz="8" w:color="auto"/>
            </w:tcBorders>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680</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23,170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 and buildings and plant and equipment includes $15,274,000 in relation to the build-out of Brussels South in the course of its construction.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19.  Right-of-use assets</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2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Motor vehicles</w:t>
            </w:r>
          </w:p>
        </w:tc>
        <w:tc>
          <w:tcPr>
            <w:tcW w:w="40" w:type="dxa"/>
            <w:vAlign w:val="bottom"/>
          </w:tcPr>
          <w:p>
            <w:pPr>
              <w:spacing w:after="0"/>
              <w:rPr>
                <w:sz w:val="18"/>
                <w:szCs w:val="18"/>
                <w:color w:val="auto"/>
              </w:rPr>
            </w:pPr>
          </w:p>
        </w:tc>
        <w:tc>
          <w:tcPr>
            <w:tcW w:w="1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1"/>
                <w:szCs w:val="21"/>
                <w:color w:val="auto"/>
              </w:rPr>
            </w:pPr>
          </w:p>
        </w:tc>
        <w:tc>
          <w:tcPr>
            <w:tcW w:w="6180" w:type="dxa"/>
            <w:vAlign w:val="bottom"/>
            <w:tcBorders>
              <w:right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0" w:type="dxa"/>
            <w:vAlign w:val="bottom"/>
            <w:tcBorders>
              <w:bottom w:val="single" w:sz="8" w:color="auto"/>
            </w:tcBorders>
          </w:tcPr>
          <w:p>
            <w:pPr>
              <w:spacing w:after="0"/>
              <w:rPr>
                <w:sz w:val="21"/>
                <w:szCs w:val="21"/>
                <w:color w:val="auto"/>
              </w:rPr>
            </w:pPr>
          </w:p>
        </w:tc>
        <w:tc>
          <w:tcPr>
            <w:tcW w:w="618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6,134</w:t>
            </w: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7,323</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businesses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Depreciation charge</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6,540</w:t>
            </w: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2,832</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9,372</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15,535</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(6,163)</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amount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6,540</w:t>
            </w: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2,832</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9,372</w:t>
            </w:r>
          </w:p>
        </w:tc>
        <w:tc>
          <w:tcPr>
            <w:tcW w:w="0" w:type="dxa"/>
            <w:vAlign w:val="bottom"/>
          </w:tcPr>
          <w:p>
            <w:pPr>
              <w:spacing w:after="0"/>
              <w:rPr>
                <w:sz w:val="1"/>
                <w:szCs w:val="1"/>
                <w:color w:val="auto"/>
              </w:rPr>
            </w:pPr>
          </w:p>
        </w:tc>
      </w:tr>
      <w:tr>
        <w:trPr>
          <w:trHeight w:val="250"/>
        </w:trPr>
        <w:tc>
          <w:tcPr>
            <w:tcW w:w="1020" w:type="dxa"/>
            <w:vAlign w:val="bottom"/>
            <w:tcBorders>
              <w:bottom w:val="single" w:sz="8" w:color="auto"/>
            </w:tcBorders>
          </w:tcPr>
          <w:p>
            <w:pPr>
              <w:spacing w:after="0"/>
              <w:rPr>
                <w:sz w:val="21"/>
                <w:szCs w:val="21"/>
                <w:color w:val="auto"/>
              </w:rPr>
            </w:pPr>
          </w:p>
        </w:tc>
        <w:tc>
          <w:tcPr>
            <w:tcW w:w="618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6,327</w:t>
            </w: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6,806</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2,346</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Depreciation charge</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6,134</w:t>
            </w: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7,323</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w:t>
            </w: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11,154</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amount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6,134</w:t>
            </w:r>
          </w:p>
        </w:tc>
        <w:tc>
          <w:tcPr>
            <w:tcW w:w="2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w:t>
            </w:r>
          </w:p>
        </w:tc>
        <w:tc>
          <w:tcPr>
            <w:tcW w:w="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7,323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statement of comprehensive income or loss shows the following amounts relating to right-of- use assets: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200" w:type="dxa"/>
            <w:vAlign w:val="bottom"/>
            <w:tcBorders>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0"/>
        </w:trPr>
        <w:tc>
          <w:tcPr>
            <w:tcW w:w="7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Depreciation charge on right-of-use assets</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r>
      <w:tr>
        <w:trPr>
          <w:trHeight w:val="250"/>
        </w:trPr>
        <w:tc>
          <w:tcPr>
            <w:tcW w:w="72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Properties</w:t>
            </w:r>
          </w:p>
        </w:tc>
        <w:tc>
          <w:tcPr>
            <w:tcW w:w="13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1,704</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1,006</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w:t>
            </w:r>
          </w:p>
        </w:tc>
      </w:tr>
      <w:tr>
        <w:trPr>
          <w:trHeight w:val="250"/>
        </w:trPr>
        <w:tc>
          <w:tcPr>
            <w:tcW w:w="7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628</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451</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r>
      <w:tr>
        <w:trPr>
          <w:trHeight w:val="223"/>
        </w:trPr>
        <w:tc>
          <w:tcPr>
            <w:tcW w:w="720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2,332</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1,457</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  Intangible assets</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280" w:type="dxa"/>
            <w:vAlign w:val="bottom"/>
            <w:vMerge w:val="continue"/>
          </w:tcPr>
          <w:p>
            <w:pPr>
              <w:spacing w:after="0"/>
              <w:rPr>
                <w:sz w:val="16"/>
                <w:szCs w:val="16"/>
                <w:color w:val="auto"/>
              </w:rPr>
            </w:pPr>
          </w:p>
        </w:tc>
        <w:tc>
          <w:tcPr>
            <w:tcW w:w="1300" w:type="dxa"/>
            <w:vAlign w:val="bottom"/>
            <w:tcBorders>
              <w:left w:val="single" w:sz="8" w:color="auto"/>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3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Intellectual</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1300" w:type="dxa"/>
            <w:vAlign w:val="bottom"/>
            <w:tcBorders>
              <w:left w:val="single" w:sz="8" w:color="auto"/>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2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Patents</w:t>
            </w:r>
          </w:p>
        </w:tc>
        <w:tc>
          <w:tcPr>
            <w:tcW w:w="128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Licenses</w:t>
            </w:r>
          </w:p>
        </w:tc>
        <w:tc>
          <w:tcPr>
            <w:tcW w:w="1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30"/>
        </w:trPr>
        <w:tc>
          <w:tcPr>
            <w:tcW w:w="1020" w:type="dxa"/>
            <w:vAlign w:val="bottom"/>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vMerge w:val="continue"/>
          </w:tcPr>
          <w:p>
            <w:pPr>
              <w:spacing w:after="0"/>
              <w:rPr>
                <w:sz w:val="11"/>
                <w:szCs w:val="11"/>
                <w:color w:val="auto"/>
              </w:rPr>
            </w:pPr>
          </w:p>
        </w:tc>
        <w:tc>
          <w:tcPr>
            <w:tcW w:w="130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property</w:t>
            </w:r>
          </w:p>
        </w:tc>
        <w:tc>
          <w:tcPr>
            <w:tcW w:w="12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and</w:t>
            </w:r>
          </w:p>
        </w:tc>
        <w:tc>
          <w:tcPr>
            <w:tcW w:w="1300" w:type="dxa"/>
            <w:vAlign w:val="bottom"/>
            <w:tcBorders>
              <w:left w:val="single" w:sz="8" w:color="auto"/>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02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300" w:type="dxa"/>
            <w:vAlign w:val="bottom"/>
            <w:tcBorders>
              <w:left w:val="single" w:sz="8" w:color="auto"/>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brands</w:t>
            </w:r>
          </w:p>
        </w:tc>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2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4,847</w:t>
            </w:r>
          </w:p>
        </w:tc>
        <w:tc>
          <w:tcPr>
            <w:tcW w:w="13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92,217</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1,622</w:t>
            </w:r>
          </w:p>
        </w:tc>
        <w:tc>
          <w:tcPr>
            <w:tcW w:w="1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529</w:t>
            </w:r>
          </w:p>
        </w:tc>
        <w:tc>
          <w:tcPr>
            <w:tcW w:w="12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10,448</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109,663</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Acquisition of businesses</w:t>
            </w: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99,424</w:t>
            </w:r>
          </w:p>
        </w:tc>
        <w:tc>
          <w:tcPr>
            <w:tcW w:w="13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39,938</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1,382</w:t>
            </w:r>
          </w:p>
        </w:tc>
        <w:tc>
          <w:tcPr>
            <w:tcW w:w="13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140,744</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2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139,840</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1,967</w:t>
            </w:r>
          </w:p>
        </w:tc>
        <w:tc>
          <w:tcPr>
            <w:tcW w:w="1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8,302</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150,109</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13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charge</w:t>
            </w:r>
          </w:p>
        </w:tc>
        <w:tc>
          <w:tcPr>
            <w:tcW w:w="12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3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Impairment reversals</w:t>
            </w: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768</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provisions</w:t>
            </w:r>
          </w:p>
        </w:tc>
        <w:tc>
          <w:tcPr>
            <w:tcW w:w="12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1,579</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2,299</w:t>
            </w:r>
          </w:p>
        </w:tc>
        <w:tc>
          <w:tcPr>
            <w:tcW w:w="13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15,212</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3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98</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114</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17,783</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Balance at December 31, 2024</w:t>
            </w:r>
          </w:p>
        </w:tc>
        <w:tc>
          <w:tcPr>
            <w:tcW w:w="12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106,647</w:t>
            </w:r>
          </w:p>
        </w:tc>
        <w:tc>
          <w:tcPr>
            <w:tcW w:w="13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285,602</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1,195</w:t>
            </w:r>
          </w:p>
        </w:tc>
        <w:tc>
          <w:tcPr>
            <w:tcW w:w="13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3,604</w:t>
            </w:r>
          </w:p>
        </w:tc>
        <w:tc>
          <w:tcPr>
            <w:tcW w:w="1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598</w:t>
            </w:r>
          </w:p>
        </w:tc>
        <w:tc>
          <w:tcPr>
            <w:tcW w:w="12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18,488</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416,134</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Cost</w:t>
            </w: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106,647</w:t>
            </w:r>
          </w:p>
        </w:tc>
        <w:tc>
          <w:tcPr>
            <w:tcW w:w="13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311,468</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1,456</w:t>
            </w:r>
          </w:p>
        </w:tc>
        <w:tc>
          <w:tcPr>
            <w:tcW w:w="13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3,604</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1,067</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19,990</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444,232</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3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(28,098)</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amount</w:t>
            </w: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106,647</w:t>
            </w:r>
          </w:p>
        </w:tc>
        <w:tc>
          <w:tcPr>
            <w:tcW w:w="13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285,602</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1,195</w:t>
            </w:r>
          </w:p>
        </w:tc>
        <w:tc>
          <w:tcPr>
            <w:tcW w:w="13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3,604</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598</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18,488</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416,134</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c>
          <w:tcPr>
            <w:tcW w:w="1280" w:type="dxa"/>
            <w:vAlign w:val="bottom"/>
            <w:tcBorders>
              <w:bottom w:val="single" w:sz="8" w:color="auto"/>
              <w:right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at January 1, 2023</w:t>
            </w: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5,519</w:t>
            </w:r>
          </w:p>
        </w:tc>
        <w:tc>
          <w:tcPr>
            <w:tcW w:w="13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41,060</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300</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12,105</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58,984</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2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57,410</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1,659</w:t>
            </w:r>
          </w:p>
        </w:tc>
        <w:tc>
          <w:tcPr>
            <w:tcW w:w="1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266</w:t>
            </w:r>
          </w:p>
        </w:tc>
        <w:tc>
          <w:tcPr>
            <w:tcW w:w="12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59,412</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charge</w:t>
            </w:r>
          </w:p>
        </w:tc>
        <w:tc>
          <w:tcPr>
            <w:tcW w:w="12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Impairments</w:t>
            </w: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provisions</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3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489</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282</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307</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Balance at December 31, 2023</w:t>
            </w:r>
          </w:p>
        </w:tc>
        <w:tc>
          <w:tcPr>
            <w:tcW w:w="12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4,847</w:t>
            </w:r>
          </w:p>
        </w:tc>
        <w:tc>
          <w:tcPr>
            <w:tcW w:w="13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92,217</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1,622</w:t>
            </w:r>
          </w:p>
        </w:tc>
        <w:tc>
          <w:tcPr>
            <w:tcW w:w="1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529</w:t>
            </w:r>
          </w:p>
        </w:tc>
        <w:tc>
          <w:tcPr>
            <w:tcW w:w="12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10,448</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109,663</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Cost</w:t>
            </w: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4,847</w:t>
            </w:r>
          </w:p>
        </w:tc>
        <w:tc>
          <w:tcPr>
            <w:tcW w:w="13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114,048</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1,622</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949</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11,604</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133,070</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(21,831)</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(23,407)</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amount</w:t>
            </w: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4,847</w:t>
            </w:r>
          </w:p>
        </w:tc>
        <w:tc>
          <w:tcPr>
            <w:tcW w:w="13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92,217</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1,622</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529</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10,448</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109,663</w:t>
            </w:r>
          </w:p>
        </w:tc>
        <w:tc>
          <w:tcPr>
            <w:tcW w:w="0" w:type="dxa"/>
            <w:vAlign w:val="bottom"/>
          </w:tcPr>
          <w:p>
            <w:pPr>
              <w:spacing w:after="0"/>
              <w:rPr>
                <w:sz w:val="1"/>
                <w:szCs w:val="1"/>
                <w:color w:val="auto"/>
              </w:rPr>
            </w:pPr>
          </w:p>
        </w:tc>
      </w:tr>
      <w:tr>
        <w:trPr>
          <w:trHeight w:val="571"/>
        </w:trPr>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F-39</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generating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intangible assets to each cash-generating unit (CGU) is summarized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60" w:type="dxa"/>
            <w:vAlign w:val="bottom"/>
            <w:tcBorders>
              <w:right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segment</w:t>
            </w:r>
          </w:p>
        </w:tc>
        <w:tc>
          <w:tcPr>
            <w:tcW w:w="2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70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Product or business unit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r>
      <w:tr>
        <w:trPr>
          <w:trHeight w:val="223"/>
        </w:trPr>
        <w:tc>
          <w:tcPr>
            <w:tcW w:w="29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Precision Medicine</w:t>
            </w:r>
          </w:p>
        </w:tc>
        <w:tc>
          <w:tcPr>
            <w:tcW w:w="21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Definite</w:t>
            </w:r>
          </w:p>
        </w:tc>
        <w:tc>
          <w:tcPr>
            <w:tcW w:w="700" w:type="dxa"/>
            <w:vAlign w:val="bottom"/>
            <w:tcBorders>
              <w:bottom w:val="single" w:sz="8" w:color="auto"/>
              <w:right w:val="single" w:sz="8" w:color="auto"/>
            </w:tcBorders>
            <w:shd w:val="clear" w:color="auto" w:fill="CCEEFF"/>
          </w:tcPr>
          <w:p>
            <w:pPr>
              <w:spacing w:after="0"/>
              <w:rPr>
                <w:sz w:val="19"/>
                <w:szCs w:val="19"/>
                <w:color w:val="auto"/>
              </w:rPr>
            </w:pPr>
          </w:p>
        </w:tc>
        <w:tc>
          <w:tcPr>
            <w:tcW w:w="28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TLX591-CDx (Illuccix)</w:t>
            </w:r>
          </w:p>
        </w:tc>
        <w:tc>
          <w:tcPr>
            <w:tcW w:w="13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6,947</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10,876</w:t>
            </w:r>
          </w:p>
        </w:tc>
      </w:tr>
      <w:tr>
        <w:trPr>
          <w:trHeight w:val="223"/>
        </w:trPr>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Precision Medicine</w:t>
            </w:r>
          </w:p>
        </w:tc>
        <w:tc>
          <w:tcPr>
            <w:tcW w:w="2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Definite</w:t>
            </w:r>
          </w:p>
        </w:tc>
        <w:tc>
          <w:tcPr>
            <w:tcW w:w="70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TLX66-CDx</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768</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Precision Medicine</w:t>
            </w:r>
          </w:p>
        </w:tc>
        <w:tc>
          <w:tcPr>
            <w:tcW w:w="21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Definite</w:t>
            </w:r>
          </w:p>
        </w:tc>
        <w:tc>
          <w:tcPr>
            <w:tcW w:w="700" w:type="dxa"/>
            <w:vAlign w:val="bottom"/>
            <w:tcBorders>
              <w:bottom w:val="single" w:sz="8" w:color="auto"/>
              <w:right w:val="single" w:sz="8" w:color="auto"/>
            </w:tcBorders>
            <w:shd w:val="clear" w:color="auto" w:fill="CCEEFF"/>
          </w:tcPr>
          <w:p>
            <w:pPr>
              <w:spacing w:after="0"/>
              <w:rPr>
                <w:sz w:val="19"/>
                <w:szCs w:val="19"/>
                <w:color w:val="auto"/>
              </w:rPr>
            </w:pPr>
          </w:p>
        </w:tc>
        <w:tc>
          <w:tcPr>
            <w:tcW w:w="28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Patents</w:t>
            </w:r>
          </w:p>
        </w:tc>
        <w:tc>
          <w:tcPr>
            <w:tcW w:w="13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598</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w:t>
            </w:r>
          </w:p>
        </w:tc>
      </w:tr>
      <w:tr>
        <w:trPr>
          <w:trHeight w:val="223"/>
        </w:trPr>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Precision Medicine</w:t>
            </w:r>
          </w:p>
        </w:tc>
        <w:tc>
          <w:tcPr>
            <w:tcW w:w="2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Indefinite</w:t>
            </w:r>
          </w:p>
        </w:tc>
        <w:tc>
          <w:tcPr>
            <w:tcW w:w="70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SENSEI</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54,572</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50,346</w:t>
            </w:r>
          </w:p>
        </w:tc>
      </w:tr>
      <w:tr>
        <w:trPr>
          <w:trHeight w:val="223"/>
        </w:trPr>
        <w:tc>
          <w:tcPr>
            <w:tcW w:w="29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Precision Medicine</w:t>
            </w:r>
          </w:p>
        </w:tc>
        <w:tc>
          <w:tcPr>
            <w:tcW w:w="21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Indefinite</w:t>
            </w:r>
          </w:p>
        </w:tc>
        <w:tc>
          <w:tcPr>
            <w:tcW w:w="700" w:type="dxa"/>
            <w:vAlign w:val="bottom"/>
            <w:tcBorders>
              <w:bottom w:val="single" w:sz="8" w:color="auto"/>
              <w:right w:val="single" w:sz="8" w:color="auto"/>
            </w:tcBorders>
            <w:shd w:val="clear" w:color="auto" w:fill="CCEEFF"/>
          </w:tcPr>
          <w:p>
            <w:pPr>
              <w:spacing w:after="0"/>
              <w:rPr>
                <w:sz w:val="19"/>
                <w:szCs w:val="19"/>
                <w:color w:val="auto"/>
              </w:rPr>
            </w:pPr>
          </w:p>
        </w:tc>
        <w:tc>
          <w:tcPr>
            <w:tcW w:w="28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Dedicaid, QDOSE</w:t>
            </w:r>
          </w:p>
        </w:tc>
        <w:tc>
          <w:tcPr>
            <w:tcW w:w="13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3,604</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1,697</w:t>
            </w:r>
          </w:p>
        </w:tc>
      </w:tr>
      <w:tr>
        <w:trPr>
          <w:trHeight w:val="223"/>
        </w:trPr>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Therapeutics</w:t>
            </w:r>
          </w:p>
        </w:tc>
        <w:tc>
          <w:tcPr>
            <w:tcW w:w="2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Indefinite</w:t>
            </w:r>
          </w:p>
        </w:tc>
        <w:tc>
          <w:tcPr>
            <w:tcW w:w="70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TLX101</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1,913</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1,613</w:t>
            </w:r>
          </w:p>
        </w:tc>
      </w:tr>
      <w:tr>
        <w:trPr>
          <w:trHeight w:val="263"/>
        </w:trPr>
        <w:tc>
          <w:tcPr>
            <w:tcW w:w="29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Therapeutics</w:t>
            </w:r>
          </w:p>
        </w:tc>
        <w:tc>
          <w:tcPr>
            <w:tcW w:w="21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Indefinite</w:t>
            </w:r>
          </w:p>
        </w:tc>
        <w:tc>
          <w:tcPr>
            <w:tcW w:w="700" w:type="dxa"/>
            <w:vAlign w:val="bottom"/>
            <w:tcBorders>
              <w:bottom w:val="single" w:sz="8" w:color="auto"/>
              <w:right w:val="single" w:sz="8" w:color="auto"/>
            </w:tcBorders>
            <w:shd w:val="clear" w:color="auto" w:fill="CCEEFF"/>
          </w:tcPr>
          <w:p>
            <w:pPr>
              <w:spacing w:after="0"/>
              <w:rPr>
                <w:sz w:val="22"/>
                <w:szCs w:val="22"/>
                <w:color w:val="auto"/>
              </w:rPr>
            </w:pPr>
          </w:p>
        </w:tc>
        <w:tc>
          <w:tcPr>
            <w:tcW w:w="2820" w:type="dxa"/>
            <w:vAlign w:val="bottom"/>
            <w:tcBorders>
              <w:bottom w:val="single" w:sz="8" w:color="auto"/>
              <w:right w:val="single" w:sz="8" w:color="auto"/>
            </w:tcBorders>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QSAM (</w:t>
            </w:r>
            <w:r>
              <w:rPr>
                <w:rFonts w:ascii="Times New Roman" w:cs="Times New Roman" w:eastAsia="Times New Roman" w:hAnsi="Times New Roman"/>
                <w:sz w:val="29"/>
                <w:szCs w:val="29"/>
                <w:color w:val="auto"/>
                <w:vertAlign w:val="superscript"/>
              </w:rPr>
              <w:t>153</w:t>
            </w:r>
            <w:r>
              <w:rPr>
                <w:rFonts w:ascii="Times New Roman" w:cs="Times New Roman" w:eastAsia="Times New Roman" w:hAnsi="Times New Roman"/>
                <w:sz w:val="18"/>
                <w:szCs w:val="18"/>
                <w:color w:val="auto"/>
              </w:rPr>
              <w:t>Sm-DOTMP)</w:t>
            </w:r>
          </w:p>
        </w:tc>
        <w:tc>
          <w:tcPr>
            <w:tcW w:w="13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149,761</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Therapeutics</w:t>
            </w:r>
          </w:p>
        </w:tc>
        <w:tc>
          <w:tcPr>
            <w:tcW w:w="2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Indefinite</w:t>
            </w:r>
          </w:p>
        </w:tc>
        <w:tc>
          <w:tcPr>
            <w:tcW w:w="70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TLX591</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18,074</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17,912</w:t>
            </w:r>
          </w:p>
        </w:tc>
      </w:tr>
      <w:tr>
        <w:trPr>
          <w:trHeight w:val="223"/>
        </w:trPr>
        <w:tc>
          <w:tcPr>
            <w:tcW w:w="29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Therapeutics</w:t>
            </w:r>
          </w:p>
        </w:tc>
        <w:tc>
          <w:tcPr>
            <w:tcW w:w="21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Indefinite</w:t>
            </w:r>
          </w:p>
        </w:tc>
        <w:tc>
          <w:tcPr>
            <w:tcW w:w="700" w:type="dxa"/>
            <w:vAlign w:val="bottom"/>
            <w:tcBorders>
              <w:bottom w:val="single" w:sz="8" w:color="auto"/>
              <w:right w:val="single" w:sz="8" w:color="auto"/>
            </w:tcBorders>
            <w:shd w:val="clear" w:color="auto" w:fill="CCEEFF"/>
          </w:tcPr>
          <w:p>
            <w:pPr>
              <w:spacing w:after="0"/>
              <w:rPr>
                <w:sz w:val="19"/>
                <w:szCs w:val="19"/>
                <w:color w:val="auto"/>
              </w:rPr>
            </w:pPr>
          </w:p>
        </w:tc>
        <w:tc>
          <w:tcPr>
            <w:tcW w:w="28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TLX66</w:t>
            </w:r>
          </w:p>
        </w:tc>
        <w:tc>
          <w:tcPr>
            <w:tcW w:w="13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17,159</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15,569</w:t>
            </w:r>
          </w:p>
        </w:tc>
      </w:tr>
      <w:tr>
        <w:trPr>
          <w:trHeight w:val="223"/>
        </w:trPr>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Therapeutics</w:t>
            </w:r>
          </w:p>
        </w:tc>
        <w:tc>
          <w:tcPr>
            <w:tcW w:w="2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Indefinite</w:t>
            </w:r>
          </w:p>
        </w:tc>
        <w:tc>
          <w:tcPr>
            <w:tcW w:w="70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TLX300</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6,823</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6,823</w:t>
            </w:r>
          </w:p>
        </w:tc>
      </w:tr>
      <w:tr>
        <w:trPr>
          <w:trHeight w:val="223"/>
        </w:trPr>
        <w:tc>
          <w:tcPr>
            <w:tcW w:w="29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solutions</w:t>
            </w:r>
          </w:p>
        </w:tc>
        <w:tc>
          <w:tcPr>
            <w:tcW w:w="21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Indefinite</w:t>
            </w:r>
          </w:p>
        </w:tc>
        <w:tc>
          <w:tcPr>
            <w:tcW w:w="700" w:type="dxa"/>
            <w:vAlign w:val="bottom"/>
            <w:tcBorders>
              <w:bottom w:val="single" w:sz="8" w:color="auto"/>
              <w:right w:val="single" w:sz="8" w:color="auto"/>
            </w:tcBorders>
            <w:shd w:val="clear" w:color="auto" w:fill="CCEEFF"/>
          </w:tcPr>
          <w:p>
            <w:pPr>
              <w:spacing w:after="0"/>
              <w:rPr>
                <w:sz w:val="19"/>
                <w:szCs w:val="19"/>
                <w:color w:val="auto"/>
              </w:rPr>
            </w:pPr>
          </w:p>
        </w:tc>
        <w:tc>
          <w:tcPr>
            <w:tcW w:w="28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ARTMS</w:t>
            </w:r>
          </w:p>
        </w:tc>
        <w:tc>
          <w:tcPr>
            <w:tcW w:w="13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123,613</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Manufacturing solutions</w:t>
            </w:r>
          </w:p>
        </w:tc>
        <w:tc>
          <w:tcPr>
            <w:tcW w:w="2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Definite and indefinite</w:t>
            </w:r>
          </w:p>
        </w:tc>
        <w:tc>
          <w:tcPr>
            <w:tcW w:w="70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IsoTherapeutics</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19,811</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solutions</w:t>
            </w:r>
          </w:p>
        </w:tc>
        <w:tc>
          <w:tcPr>
            <w:tcW w:w="21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Definite</w:t>
            </w:r>
          </w:p>
        </w:tc>
        <w:tc>
          <w:tcPr>
            <w:tcW w:w="700" w:type="dxa"/>
            <w:vAlign w:val="bottom"/>
            <w:tcBorders>
              <w:bottom w:val="single" w:sz="8" w:color="auto"/>
              <w:right w:val="single" w:sz="8" w:color="auto"/>
            </w:tcBorders>
            <w:shd w:val="clear" w:color="auto" w:fill="CCEEFF"/>
          </w:tcPr>
          <w:p>
            <w:pPr>
              <w:spacing w:after="0"/>
              <w:rPr>
                <w:sz w:val="19"/>
                <w:szCs w:val="19"/>
                <w:color w:val="auto"/>
              </w:rPr>
            </w:pPr>
          </w:p>
        </w:tc>
        <w:tc>
          <w:tcPr>
            <w:tcW w:w="28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Brussels South and Optimal Tracers</w:t>
            </w:r>
          </w:p>
        </w:tc>
        <w:tc>
          <w:tcPr>
            <w:tcW w:w="13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12,491</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4,298</w:t>
            </w:r>
          </w:p>
        </w:tc>
      </w:tr>
      <w:tr>
        <w:trPr>
          <w:trHeight w:val="223"/>
        </w:trPr>
        <w:tc>
          <w:tcPr>
            <w:tcW w:w="296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416,134</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109,663</w:t>
            </w:r>
          </w:p>
        </w:tc>
      </w:tr>
      <w:tr>
        <w:trPr>
          <w:trHeight w:val="571"/>
        </w:trPr>
        <w:tc>
          <w:tcPr>
            <w:tcW w:w="29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5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F-40</w:t>
            </w: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4"/>
        </w:trPr>
        <w:tc>
          <w:tcPr>
            <w:tcW w:w="296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test for goodwill and indefinite life intangible assets</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Goodwill and indefinite life intangible assets are tested annually for impairment. At December 31, 2024, the Directors used a fair value less costs to sell approach to assess the carrying value of goodwill and indefinite life intangible assets. No impairment was recognized by the Group.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assumptions used for the fair value less costs to sell approach</w:t>
      </w:r>
    </w:p>
    <w:p>
      <w:pPr>
        <w:spacing w:after="0" w:line="227"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The Group has identified the estimate of the recoverable amount as a significant judgement for the year ended December 31, 2024. In determining the recoverable amount of goodwill and indefinite life intangible assets, the Group has used discounted cash flow forecasts and the following key assumptions (classified as level 3 inputs in the fair value hierarchy):</w:t>
      </w:r>
    </w:p>
    <w:p>
      <w:pPr>
        <w:spacing w:after="0" w:line="176" w:lineRule="exact"/>
        <w:rPr>
          <w:sz w:val="20"/>
          <w:szCs w:val="20"/>
          <w:color w:val="auto"/>
        </w:rPr>
      </w:pPr>
    </w:p>
    <w:p>
      <w:pPr>
        <w:ind w:left="340" w:right="80" w:hanging="238"/>
        <w:spacing w:after="0" w:line="257" w:lineRule="auto"/>
        <w:tabs>
          <w:tab w:leader="none" w:pos="340" w:val="left"/>
        </w:tabs>
        <w:numPr>
          <w:ilvl w:val="0"/>
          <w:numId w:val="211"/>
        </w:numPr>
        <w:rPr>
          <w:rFonts w:ascii="Times New Roman" w:cs="Times New Roman" w:eastAsia="Times New Roman" w:hAnsi="Times New Roman"/>
          <w:sz w:val="18"/>
          <w:szCs w:val="18"/>
          <w:color w:val="0A2E94"/>
        </w:rPr>
      </w:pPr>
      <w:r>
        <w:rPr>
          <w:rFonts w:ascii="Times New Roman" w:cs="Times New Roman" w:eastAsia="Times New Roman" w:hAnsi="Times New Roman"/>
          <w:sz w:val="18"/>
          <w:szCs w:val="18"/>
          <w:color w:val="auto"/>
        </w:rPr>
        <w:t>discounted expected future cash flows of each program which span 10 years from marketing authorization after which a terminal value, where appropriate, based on our view of the longer term growth profile of the program is applied. This reflects the anticipated product life cycle, and include cash inflows and outflows determined using further assumptions below</w:t>
      </w:r>
    </w:p>
    <w:p>
      <w:pPr>
        <w:spacing w:after="0" w:line="1" w:lineRule="exact"/>
        <w:rPr>
          <w:rFonts w:ascii="Times New Roman" w:cs="Times New Roman" w:eastAsia="Times New Roman" w:hAnsi="Times New Roman"/>
          <w:sz w:val="18"/>
          <w:szCs w:val="18"/>
          <w:color w:val="0A2E94"/>
        </w:rPr>
      </w:pPr>
    </w:p>
    <w:p>
      <w:pPr>
        <w:ind w:left="340" w:hanging="238"/>
        <w:spacing w:after="0"/>
        <w:tabs>
          <w:tab w:leader="none" w:pos="3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adjusted post-tax discount rate – 12.5% (2023: 13.0%)</w:t>
      </w:r>
    </w:p>
    <w:p>
      <w:pPr>
        <w:spacing w:after="0" w:line="9" w:lineRule="exact"/>
        <w:rPr>
          <w:rFonts w:ascii="Times New Roman" w:cs="Times New Roman" w:eastAsia="Times New Roman" w:hAnsi="Times New Roman"/>
          <w:sz w:val="18"/>
          <w:szCs w:val="18"/>
          <w:color w:val="auto"/>
        </w:rPr>
      </w:pPr>
    </w:p>
    <w:p>
      <w:pPr>
        <w:ind w:left="340" w:hanging="238"/>
        <w:spacing w:after="0"/>
        <w:tabs>
          <w:tab w:leader="none" w:pos="3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regulatory/marketing authorization approval dates, these are re-assessed in conjunction with Senior Management and Commercial teams</w:t>
      </w:r>
    </w:p>
    <w:p>
      <w:pPr>
        <w:spacing w:after="0" w:line="9" w:lineRule="exact"/>
        <w:rPr>
          <w:rFonts w:ascii="Times New Roman" w:cs="Times New Roman" w:eastAsia="Times New Roman" w:hAnsi="Times New Roman"/>
          <w:sz w:val="18"/>
          <w:szCs w:val="18"/>
          <w:color w:val="auto"/>
        </w:rPr>
      </w:pPr>
    </w:p>
    <w:p>
      <w:pPr>
        <w:ind w:left="340" w:right="200" w:hanging="238"/>
        <w:spacing w:after="0" w:line="250" w:lineRule="auto"/>
        <w:tabs>
          <w:tab w:leader="none" w:pos="3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sales volumes, these are determined by applying a target market share to cancer incidence rates across various countries, sourced from data provided by the World Health Organization’s International Agency for Research on Cancer</w:t>
      </w:r>
    </w:p>
    <w:p>
      <w:pPr>
        <w:ind w:left="340" w:hanging="238"/>
        <w:spacing w:after="0"/>
        <w:tabs>
          <w:tab w:leader="none" w:pos="3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price per unit, for commercialized products forecast average selling price is used and for products in development a target sales price is used</w:t>
      </w:r>
    </w:p>
    <w:p>
      <w:pPr>
        <w:spacing w:after="0" w:line="9" w:lineRule="exact"/>
        <w:rPr>
          <w:rFonts w:ascii="Times New Roman" w:cs="Times New Roman" w:eastAsia="Times New Roman" w:hAnsi="Times New Roman"/>
          <w:sz w:val="18"/>
          <w:szCs w:val="18"/>
          <w:color w:val="auto"/>
        </w:rPr>
      </w:pPr>
    </w:p>
    <w:p>
      <w:pPr>
        <w:ind w:left="340" w:hanging="238"/>
        <w:spacing w:after="0"/>
        <w:tabs>
          <w:tab w:leader="none" w:pos="3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for marketing authorization probability success factor, this varies depending on the clinical trial stage of each program</w:t>
      </w:r>
    </w:p>
    <w:p>
      <w:pPr>
        <w:spacing w:after="0" w:line="9" w:lineRule="exact"/>
        <w:rPr>
          <w:rFonts w:ascii="Times New Roman" w:cs="Times New Roman" w:eastAsia="Times New Roman" w:hAnsi="Times New Roman"/>
          <w:sz w:val="18"/>
          <w:szCs w:val="18"/>
          <w:color w:val="auto"/>
        </w:rPr>
      </w:pPr>
    </w:p>
    <w:p>
      <w:pPr>
        <w:ind w:left="340" w:right="260" w:hanging="238"/>
        <w:spacing w:after="0" w:line="250" w:lineRule="auto"/>
        <w:tabs>
          <w:tab w:leader="none" w:pos="3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cash outflows consideration has been given to cost of sales, selling and marketing expenses, general and administration costs and the anticipated research and development costs to reach commercialization. Associated expenses such as royalties, milestone payments and license fees are included, and</w:t>
      </w:r>
    </w:p>
    <w:p>
      <w:pPr>
        <w:spacing w:after="0" w:line="1" w:lineRule="exact"/>
        <w:rPr>
          <w:rFonts w:ascii="Times New Roman" w:cs="Times New Roman" w:eastAsia="Times New Roman" w:hAnsi="Times New Roman"/>
          <w:sz w:val="18"/>
          <w:szCs w:val="18"/>
          <w:color w:val="auto"/>
        </w:rPr>
      </w:pPr>
    </w:p>
    <w:p>
      <w:pPr>
        <w:ind w:left="340" w:hanging="238"/>
        <w:spacing w:after="0"/>
        <w:tabs>
          <w:tab w:leader="none" w:pos="3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disposal were assumed to be immaterial at December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possible changes in key assumptions</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Group has considered reasonable possible changes in the key assumptions and has not identified any instances that could cause the carrying amounts of the intangible assets at December 31, 2024 to exceed their recoverable amounts.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Whilst there is no impairment, the key sensitivities in the valuation remain the continued successful development and commercialization of core programs.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Group is unable to successfully develop each product, this may result in an impairment of the carrying amount of our intangible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 internal or external factors identified that could result in an impairment of definite life intangible assets at December 31, 2024.</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21.</w:t>
        <w:tab/>
        <w:t>Acquisitions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21.1.Acquisition of IsoTherapeutics Group, LLC</w:t>
      </w:r>
    </w:p>
    <w:p>
      <w:pPr>
        <w:spacing w:after="0" w:line="22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 April 9, 2024 Telix completed the acquisition of IsoTherapeutics Group, LLC (IsoTherapeutics). IsoTherapeutics is a commercial-stage company that provides radiochemistry and bioconjugation development and contract manufacturing services to numerous companies in the radiopharmaceutical industry, including Telix.</w:t>
      </w:r>
    </w:p>
    <w:p>
      <w:pPr>
        <w:spacing w:after="0" w:line="176"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total consideration is $19,859,000 of which $8,912,000 has been paid in equity through the issue of 717,587 fully paid ordinary Telix shares at $12.42 per share, with $3,285,000 paid in cash. A further $7,662,000 is payable in cash for performance-related milestone payments that are subject to meeting milestone conditions within twelve months of closing.</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Further performance-based payments are payable in cash to the IsoTherapeutics sellers based on 50% of net revenue during a two year revenue sharing period from the closing date. These payments are effectively a retention mechanism of key employees and as such are excluded from the acquisition consideration and instead will be recognized as an expense over the revenue sharing period within the Group’s consolidated statement of comprehensive income.</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consideration paid for IsoTherapeutics, the fair value of assets acquired and liabilities assumed at the acquisition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0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9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r>
      <w:tr>
        <w:trPr>
          <w:trHeight w:val="223"/>
        </w:trPr>
        <w:tc>
          <w:tcPr>
            <w:tcW w:w="99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3,285</w:t>
            </w:r>
          </w:p>
        </w:tc>
      </w:tr>
      <w:tr>
        <w:trPr>
          <w:trHeight w:val="223"/>
        </w:trPr>
        <w:tc>
          <w:tcPr>
            <w:tcW w:w="9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Equity issued</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8,912</w:t>
            </w:r>
          </w:p>
        </w:tc>
      </w:tr>
      <w:tr>
        <w:trPr>
          <w:trHeight w:val="223"/>
        </w:trPr>
        <w:tc>
          <w:tcPr>
            <w:tcW w:w="99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7,662</w:t>
            </w:r>
          </w:p>
        </w:tc>
      </w:tr>
      <w:tr>
        <w:trPr>
          <w:trHeight w:val="223"/>
        </w:trPr>
        <w:tc>
          <w:tcPr>
            <w:tcW w:w="9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19,859</w:t>
            </w:r>
          </w:p>
        </w:tc>
      </w:tr>
      <w:tr>
        <w:trPr>
          <w:trHeight w:val="223"/>
        </w:trPr>
        <w:tc>
          <w:tcPr>
            <w:tcW w:w="99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1340" w:type="dxa"/>
            <w:vAlign w:val="bottom"/>
            <w:tcBorders>
              <w:bottom w:val="single" w:sz="8" w:color="auto"/>
            </w:tcBorders>
            <w:shd w:val="clear" w:color="auto" w:fill="CCEEFF"/>
          </w:tcPr>
          <w:p>
            <w:pPr>
              <w:spacing w:after="0"/>
              <w:rPr>
                <w:sz w:val="19"/>
                <w:szCs w:val="19"/>
                <w:color w:val="auto"/>
              </w:rPr>
            </w:pPr>
          </w:p>
        </w:tc>
      </w:tr>
      <w:tr>
        <w:trPr>
          <w:trHeight w:val="223"/>
        </w:trPr>
        <w:tc>
          <w:tcPr>
            <w:tcW w:w="9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r>
      <w:tr>
        <w:trPr>
          <w:trHeight w:val="223"/>
        </w:trPr>
        <w:tc>
          <w:tcPr>
            <w:tcW w:w="99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w:t>
            </w:r>
          </w:p>
        </w:tc>
      </w:tr>
      <w:tr>
        <w:trPr>
          <w:trHeight w:val="223"/>
        </w:trPr>
        <w:tc>
          <w:tcPr>
            <w:tcW w:w="9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r>
      <w:tr>
        <w:trPr>
          <w:trHeight w:val="223"/>
        </w:trPr>
        <w:tc>
          <w:tcPr>
            <w:tcW w:w="99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w:t>
            </w:r>
          </w:p>
        </w:tc>
      </w:tr>
      <w:tr>
        <w:trPr>
          <w:trHeight w:val="223"/>
        </w:trPr>
        <w:tc>
          <w:tcPr>
            <w:tcW w:w="9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99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23"/>
        </w:trPr>
        <w:tc>
          <w:tcPr>
            <w:tcW w:w="9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identifiable assets and liabilities</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1,394</w:t>
            </w:r>
          </w:p>
        </w:tc>
      </w:tr>
      <w:tr>
        <w:trPr>
          <w:trHeight w:val="223"/>
        </w:trPr>
        <w:tc>
          <w:tcPr>
            <w:tcW w:w="99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adjustments</w:t>
            </w:r>
          </w:p>
        </w:tc>
        <w:tc>
          <w:tcPr>
            <w:tcW w:w="1340" w:type="dxa"/>
            <w:vAlign w:val="bottom"/>
            <w:tcBorders>
              <w:bottom w:val="single" w:sz="8" w:color="auto"/>
            </w:tcBorders>
            <w:shd w:val="clear" w:color="auto" w:fill="CCEEFF"/>
          </w:tcPr>
          <w:p>
            <w:pPr>
              <w:spacing w:after="0"/>
              <w:rPr>
                <w:sz w:val="19"/>
                <w:szCs w:val="19"/>
                <w:color w:val="auto"/>
              </w:rPr>
            </w:pPr>
          </w:p>
        </w:tc>
      </w:tr>
      <w:tr>
        <w:trPr>
          <w:trHeight w:val="223"/>
        </w:trPr>
        <w:tc>
          <w:tcPr>
            <w:tcW w:w="9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1,280</w:t>
            </w:r>
          </w:p>
        </w:tc>
      </w:tr>
      <w:tr>
        <w:trPr>
          <w:trHeight w:val="223"/>
        </w:trPr>
        <w:tc>
          <w:tcPr>
            <w:tcW w:w="99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 name</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9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3"/>
        </w:trPr>
        <w:tc>
          <w:tcPr>
            <w:tcW w:w="99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fair value adjustments</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1,050</w:t>
            </w:r>
          </w:p>
        </w:tc>
      </w:tr>
      <w:tr>
        <w:trPr>
          <w:trHeight w:val="223"/>
        </w:trPr>
        <w:tc>
          <w:tcPr>
            <w:tcW w:w="9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17,415</w:t>
            </w:r>
          </w:p>
        </w:tc>
      </w:tr>
      <w:tr>
        <w:trPr>
          <w:trHeight w:val="223"/>
        </w:trPr>
        <w:tc>
          <w:tcPr>
            <w:tcW w:w="99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19,859</w:t>
            </w:r>
          </w:p>
        </w:tc>
      </w:tr>
    </w:tbl>
    <w:p>
      <w:pPr>
        <w:spacing w:after="0" w:line="198" w:lineRule="exact"/>
        <w:rPr>
          <w:sz w:val="20"/>
          <w:szCs w:val="20"/>
          <w:color w:val="auto"/>
        </w:rPr>
      </w:pPr>
    </w:p>
    <w:p>
      <w:pPr>
        <w:ind w:right="840"/>
        <w:spacing w:after="0" w:line="266" w:lineRule="auto"/>
        <w:rPr>
          <w:sz w:val="20"/>
          <w:szCs w:val="20"/>
          <w:color w:val="auto"/>
        </w:rPr>
      </w:pPr>
      <w:r>
        <w:rPr>
          <w:rFonts w:ascii="Times New Roman" w:cs="Times New Roman" w:eastAsia="Times New Roman" w:hAnsi="Times New Roman"/>
          <w:sz w:val="18"/>
          <w:szCs w:val="18"/>
          <w:color w:val="auto"/>
        </w:rPr>
        <w:t>The goodwill arising is attributable to the acquired workforce, anticipated future cost savings from utilizing IsoTherapeutics’ manufacturing and radiopharmaceutical development capability and synergies of integrating the business within the Group. The goodwill arising from the acquisition has been allocated to the manufacturing solutions CGU.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adjustments have been recognized for acquisition-related intangible assets and related deferred tax.</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Acquisition-related intangible assets of $1,280,000 relate to the valuation of the customer relationships and $102,000 relates to the value of the acquired IsoTherapeutics brand. The useful economic lives of each of these acquisition-related intangible assets is four and two years, respectively.</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Acquisition costs of $1,342,000 have been charged to the consolidated statement of comprehensive income in the year relating to the acquisition of IsoTherapeutics.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IsoTherapeutics contributed $2,287,000 towards revenue and a net loss of $1,068,000 towards the Group’s profit before tax attributable to equity holders of the parent for the period after the date of acquisition.</w:t>
      </w:r>
    </w:p>
    <w:p>
      <w:pPr>
        <w:spacing w:after="0" w:line="1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As a preliminary assessment, had the acquisition of IsoTherapeutics been completed on the first day of the 2024 financial year, Group revenues would have been approximately $913,000 higher and Group profit before tax attributable to equity holders of the parent would have been approximately $261,000 lower.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21.2.Acquisition of ARTMS Inc.</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April 11, 2024 Telix completed the acquisition of radioisotope production technology firm ARTMS Inc. (ARTMS). ARTMS, based in Vancouver, BC (Canada), is a commercial-stage company, which specializes in the physics, chemistry and materials science of cyclotron-produced radionuclides.</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total consideration is $118,593,000 of which $71,610,000 has been paid in equity through the issue of 5,674,365 fully paid ordinary Telix shares at $12.62 per share, with $24,491,000 paid in cash.</w:t>
      </w:r>
    </w:p>
    <w:p>
      <w:pPr>
        <w:spacing w:after="0" w:line="16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A further $22,492,000 in contingent future milestone and royalty payments is payable in cash following achievement of certain clinical or commercial milestones and sales targets. The royalties represent a low single to low double-digit percentage of net sales of ARTMS products or Telix products prepared using ARTMS products for defined periods depending on the product location where the sale occurs. All earn-outs which have not otherwise expired will terminate on the 10 year anniversary of completion.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consideration paid for ARTMS, the fair value of assets acquired and liabilities assumed at the acquisition date.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0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Provisional fair value</w:t>
            </w:r>
          </w:p>
        </w:tc>
      </w:tr>
      <w:tr>
        <w:trPr>
          <w:trHeight w:val="223"/>
        </w:trPr>
        <w:tc>
          <w:tcPr>
            <w:tcW w:w="9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r>
      <w:tr>
        <w:trPr>
          <w:trHeight w:val="223"/>
        </w:trPr>
        <w:tc>
          <w:tcPr>
            <w:tcW w:w="95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24,491</w:t>
            </w:r>
          </w:p>
        </w:tc>
      </w:tr>
      <w:tr>
        <w:trPr>
          <w:trHeight w:val="223"/>
        </w:trPr>
        <w:tc>
          <w:tcPr>
            <w:tcW w:w="9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Equity issued</w:t>
            </w: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71,610</w:t>
            </w:r>
          </w:p>
        </w:tc>
      </w:tr>
      <w:tr>
        <w:trPr>
          <w:trHeight w:val="223"/>
        </w:trPr>
        <w:tc>
          <w:tcPr>
            <w:tcW w:w="95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22,492</w:t>
            </w:r>
          </w:p>
        </w:tc>
      </w:tr>
      <w:tr>
        <w:trPr>
          <w:trHeight w:val="223"/>
        </w:trPr>
        <w:tc>
          <w:tcPr>
            <w:tcW w:w="9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118,593</w:t>
            </w:r>
          </w:p>
        </w:tc>
      </w:tr>
      <w:tr>
        <w:trPr>
          <w:trHeight w:val="223"/>
        </w:trPr>
        <w:tc>
          <w:tcPr>
            <w:tcW w:w="95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1740" w:type="dxa"/>
            <w:vAlign w:val="bottom"/>
            <w:tcBorders>
              <w:bottom w:val="single" w:sz="8" w:color="auto"/>
            </w:tcBorders>
            <w:shd w:val="clear" w:color="auto" w:fill="CCEEFF"/>
          </w:tcPr>
          <w:p>
            <w:pPr>
              <w:spacing w:after="0"/>
              <w:rPr>
                <w:sz w:val="19"/>
                <w:szCs w:val="19"/>
                <w:color w:val="auto"/>
              </w:rPr>
            </w:pPr>
          </w:p>
        </w:tc>
      </w:tr>
      <w:tr>
        <w:trPr>
          <w:trHeight w:val="223"/>
        </w:trPr>
        <w:tc>
          <w:tcPr>
            <w:tcW w:w="9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4,321</w:t>
            </w:r>
          </w:p>
        </w:tc>
      </w:tr>
      <w:tr>
        <w:trPr>
          <w:trHeight w:val="223"/>
        </w:trPr>
        <w:tc>
          <w:tcPr>
            <w:tcW w:w="95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r>
      <w:tr>
        <w:trPr>
          <w:trHeight w:val="223"/>
        </w:trPr>
        <w:tc>
          <w:tcPr>
            <w:tcW w:w="9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95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2,869</w:t>
            </w:r>
          </w:p>
        </w:tc>
      </w:tr>
      <w:tr>
        <w:trPr>
          <w:trHeight w:val="223"/>
        </w:trPr>
        <w:tc>
          <w:tcPr>
            <w:tcW w:w="9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r>
      <w:tr>
        <w:trPr>
          <w:trHeight w:val="223"/>
        </w:trPr>
        <w:tc>
          <w:tcPr>
            <w:tcW w:w="95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1,422</w:t>
            </w:r>
          </w:p>
        </w:tc>
      </w:tr>
      <w:tr>
        <w:trPr>
          <w:trHeight w:val="223"/>
        </w:trPr>
        <w:tc>
          <w:tcPr>
            <w:tcW w:w="9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1,154</w:t>
            </w:r>
          </w:p>
        </w:tc>
      </w:tr>
      <w:tr>
        <w:trPr>
          <w:trHeight w:val="223"/>
        </w:trPr>
        <w:tc>
          <w:tcPr>
            <w:tcW w:w="95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r>
      <w:tr>
        <w:trPr>
          <w:trHeight w:val="223"/>
        </w:trPr>
        <w:tc>
          <w:tcPr>
            <w:tcW w:w="9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r>
      <w:tr>
        <w:trPr>
          <w:trHeight w:val="223"/>
        </w:trPr>
        <w:tc>
          <w:tcPr>
            <w:tcW w:w="95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identifiable assets and liabilities</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5,853</w:t>
            </w:r>
          </w:p>
        </w:tc>
      </w:tr>
      <w:tr>
        <w:trPr>
          <w:trHeight w:val="223"/>
        </w:trPr>
        <w:tc>
          <w:tcPr>
            <w:tcW w:w="9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Fair value adjustments</w:t>
            </w:r>
          </w:p>
        </w:tc>
        <w:tc>
          <w:tcPr>
            <w:tcW w:w="1740" w:type="dxa"/>
            <w:vAlign w:val="bottom"/>
            <w:tcBorders>
              <w:bottom w:val="single" w:sz="8" w:color="auto"/>
            </w:tcBorders>
          </w:tcPr>
          <w:p>
            <w:pPr>
              <w:spacing w:after="0"/>
              <w:rPr>
                <w:sz w:val="19"/>
                <w:szCs w:val="19"/>
                <w:color w:val="auto"/>
              </w:rPr>
            </w:pPr>
          </w:p>
        </w:tc>
      </w:tr>
      <w:tr>
        <w:trPr>
          <w:trHeight w:val="223"/>
        </w:trPr>
        <w:tc>
          <w:tcPr>
            <w:tcW w:w="95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39,965</w:t>
            </w:r>
          </w:p>
        </w:tc>
      </w:tr>
      <w:tr>
        <w:trPr>
          <w:trHeight w:val="223"/>
        </w:trPr>
        <w:tc>
          <w:tcPr>
            <w:tcW w:w="9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(10,256)</w:t>
            </w:r>
          </w:p>
        </w:tc>
      </w:tr>
      <w:tr>
        <w:trPr>
          <w:trHeight w:val="223"/>
        </w:trPr>
        <w:tc>
          <w:tcPr>
            <w:tcW w:w="95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w:t>
            </w:r>
          </w:p>
        </w:tc>
      </w:tr>
      <w:tr>
        <w:trPr>
          <w:trHeight w:val="223"/>
        </w:trPr>
        <w:tc>
          <w:tcPr>
            <w:tcW w:w="9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555</w:t>
            </w:r>
          </w:p>
        </w:tc>
      </w:tr>
      <w:tr>
        <w:trPr>
          <w:trHeight w:val="223"/>
        </w:trPr>
        <w:tc>
          <w:tcPr>
            <w:tcW w:w="95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fair value adjustments</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30,768</w:t>
            </w:r>
          </w:p>
        </w:tc>
      </w:tr>
      <w:tr>
        <w:trPr>
          <w:trHeight w:val="223"/>
        </w:trPr>
        <w:tc>
          <w:tcPr>
            <w:tcW w:w="9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81,972</w:t>
            </w:r>
          </w:p>
        </w:tc>
      </w:tr>
      <w:tr>
        <w:trPr>
          <w:trHeight w:val="223"/>
        </w:trPr>
        <w:tc>
          <w:tcPr>
            <w:tcW w:w="95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118,593</w:t>
            </w:r>
          </w:p>
        </w:tc>
      </w:tr>
    </w:tbl>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goodwill arising is attributable to the acquired workforce, anticipated future cost savings from utilizing ARTMS’ radioisotope production capabilities and synergies of vertically integrating the business within the Group. The goodwill arising from the acquisition has been allocated to the manufacturing services CGU.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adjustments have been recognized for acquisition-related intangible assets, property, plant and equipment, inventories and related deferred tax.</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Acquisition-related intangible assets of $39,965,000 relate to the valuation of the acquired ARTMS intellectual property. The useful economic life of the intellectual property has not been assessed at the acquisition date, as the intellectual property is not available for commercial use until regulatory approval has been obtained.</w:t>
      </w:r>
    </w:p>
    <w:p>
      <w:pPr>
        <w:spacing w:after="0" w:line="17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Acquisition costs of $1,080,000 have been charged to the consolidated statement of comprehensive income in the year relating to the acquisition of ARTMS.</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ARTMS contributed $372,000 towards revenue and a net loss of $3,746,000 towards the Group’s profit before tax attributable to equity holders of the parent for the period after the date of acquisition.</w:t>
      </w:r>
    </w:p>
    <w:p>
      <w:pPr>
        <w:spacing w:after="0" w:line="162" w:lineRule="exact"/>
        <w:rPr>
          <w:sz w:val="20"/>
          <w:szCs w:val="20"/>
          <w:color w:val="auto"/>
        </w:rPr>
      </w:pPr>
    </w:p>
    <w:p>
      <w:pPr>
        <w:jc w:val="both"/>
        <w:ind w:right="180"/>
        <w:spacing w:after="0" w:line="312" w:lineRule="auto"/>
        <w:rPr>
          <w:sz w:val="20"/>
          <w:szCs w:val="20"/>
          <w:color w:val="auto"/>
        </w:rPr>
      </w:pPr>
      <w:r>
        <w:rPr>
          <w:rFonts w:ascii="Times New Roman" w:cs="Times New Roman" w:eastAsia="Times New Roman" w:hAnsi="Times New Roman"/>
          <w:sz w:val="17"/>
          <w:szCs w:val="17"/>
          <w:color w:val="auto"/>
        </w:rPr>
        <w:t>As a preliminary assessment, had the acquisition of ARTMS been completed on the first day of the 2024 financial year, Group revenues would have been approximately $344,000 higher and Group profit before tax attributable to equity holders of the parent would have been approximately $1,838,000 lower.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21.3.Acquisition of QSAM Biosciences, Inc.</w:t>
      </w:r>
    </w:p>
    <w:p>
      <w:pPr>
        <w:spacing w:after="0" w:line="225" w:lineRule="exact"/>
        <w:rPr>
          <w:sz w:val="20"/>
          <w:szCs w:val="20"/>
          <w:color w:val="auto"/>
        </w:rPr>
      </w:pPr>
    </w:p>
    <w:p>
      <w:pPr>
        <w:ind w:right="700"/>
        <w:spacing w:after="0" w:line="300" w:lineRule="auto"/>
        <w:rPr>
          <w:sz w:val="20"/>
          <w:szCs w:val="20"/>
          <w:color w:val="auto"/>
        </w:rPr>
      </w:pPr>
      <w:r>
        <w:rPr>
          <w:rFonts w:ascii="Times New Roman" w:cs="Times New Roman" w:eastAsia="Times New Roman" w:hAnsi="Times New Roman"/>
          <w:sz w:val="17"/>
          <w:szCs w:val="17"/>
          <w:color w:val="auto"/>
        </w:rPr>
        <w:t>On May 3, 2024 Telix completed of the acquisition of QSAM Biosciences, Inc. (QSAM) and its lead investigational drug Samarium-153-DOTMP (</w:t>
      </w:r>
      <w:r>
        <w:rPr>
          <w:rFonts w:ascii="Times New Roman" w:cs="Times New Roman" w:eastAsia="Times New Roman" w:hAnsi="Times New Roman"/>
          <w:sz w:val="28"/>
          <w:szCs w:val="28"/>
          <w:color w:val="auto"/>
          <w:vertAlign w:val="superscript"/>
        </w:rPr>
        <w:t>153</w:t>
      </w:r>
      <w:r>
        <w:rPr>
          <w:rFonts w:ascii="Times New Roman" w:cs="Times New Roman" w:eastAsia="Times New Roman" w:hAnsi="Times New Roman"/>
          <w:sz w:val="17"/>
          <w:szCs w:val="17"/>
          <w:color w:val="auto"/>
        </w:rPr>
        <w:t>Sm-DOTMP</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QSAM is a U.S. based company developing therapeutic radiopharmaceuticals for primary and metastatic bone cancer.</w:t>
      </w:r>
    </w:p>
    <w:p>
      <w:pPr>
        <w:spacing w:after="0" w:line="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upfront purchase price was $68,632,000 of which $61,906,000 was paid to QSAM in equity through the issue of 3,671,120 fully paid ordinary Telix shares in May 2024 at a share price of $14.80 per share, 409,026 fully paid ordinary Telix shares in July 2024 at a share price of $18.20 per share and $6,726,000 paid in cash.</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further US$90,000,000 in Contingent Value Rights, or performance rights, is payable in cash and/or in ordinary shares, upon achievement of certain clinical or commercial milestones.</w:t>
      </w:r>
    </w:p>
    <w:p>
      <w:pPr>
        <w:spacing w:after="0" w:line="16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 xml:space="preserve">The Group has determined that substantially all of the fair value of the gross assets acquired is concentrated in a single asset or a group of similar assets. The Group has applied the optional concentration of fair value test in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concluded that the components acquired will be treated as an asset acquisition.</w:t>
      </w:r>
    </w:p>
    <w:p>
      <w:pPr>
        <w:spacing w:after="0" w:line="176"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The performance rights have been recognized as an equity settled share-based payment at a fair value of $67,943,000 which has been included in the fair value of intellectual property. Each milestone has a fixed dollar amount which can be settled either in cash or shares. The fair value of the performance rights was determined based on management’s assessment of the likelihood of each milestone being reached against the fixed dollar amount for that milestone. The likelihood of the milestones being attained are considered non-vesting conditions as there are no further services or obligations of the counterparty, thus being reflected in the fair value.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The fair values of identifiable assets on acquisition are outlined below:</w:t>
            </w:r>
          </w:p>
        </w:tc>
        <w:tc>
          <w:tcPr>
            <w:tcW w:w="3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28"/>
        </w:trPr>
        <w:tc>
          <w:tcPr>
            <w:tcW w:w="5440" w:type="dxa"/>
            <w:vAlign w:val="bottom"/>
            <w:vMerge w:val="continue"/>
          </w:tcPr>
          <w:p>
            <w:pPr>
              <w:spacing w:after="0"/>
              <w:rPr>
                <w:sz w:val="19"/>
                <w:szCs w:val="19"/>
                <w:color w:val="auto"/>
              </w:rPr>
            </w:pPr>
          </w:p>
        </w:tc>
        <w:tc>
          <w:tcPr>
            <w:tcW w:w="3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vMerge w:val="continue"/>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w:t>
            </w:r>
          </w:p>
        </w:tc>
        <w:tc>
          <w:tcPr>
            <w:tcW w:w="30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6,726</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Equity issued</w:t>
            </w:r>
          </w:p>
        </w:tc>
        <w:tc>
          <w:tcPr>
            <w:tcW w:w="30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61,906</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rights issued</w:t>
            </w:r>
          </w:p>
        </w:tc>
        <w:tc>
          <w:tcPr>
            <w:tcW w:w="30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67,943</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30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136,575</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30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30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30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136,505</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identifiable assets and liabilities</w:t>
            </w:r>
          </w:p>
        </w:tc>
        <w:tc>
          <w:tcPr>
            <w:tcW w:w="30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136,575</w:t>
            </w:r>
          </w:p>
        </w:tc>
        <w:tc>
          <w:tcPr>
            <w:tcW w:w="0" w:type="dxa"/>
            <w:vAlign w:val="bottom"/>
          </w:tcPr>
          <w:p>
            <w:pPr>
              <w:spacing w:after="0"/>
              <w:rPr>
                <w:sz w:val="1"/>
                <w:szCs w:val="1"/>
                <w:color w:val="auto"/>
              </w:rPr>
            </w:pPr>
          </w:p>
        </w:tc>
      </w:tr>
      <w:tr>
        <w:trPr>
          <w:trHeight w:val="432"/>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  Trade and other payables</w:t>
            </w:r>
          </w:p>
        </w:tc>
        <w:tc>
          <w:tcPr>
            <w:tcW w:w="3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308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3080" w:type="dxa"/>
            <w:vAlign w:val="bottom"/>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creditors</w:t>
            </w:r>
          </w:p>
        </w:tc>
        <w:tc>
          <w:tcPr>
            <w:tcW w:w="30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68,698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32,837</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Accruals</w:t>
            </w:r>
          </w:p>
        </w:tc>
        <w:tc>
          <w:tcPr>
            <w:tcW w:w="30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47,751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37,895</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creditors</w:t>
            </w:r>
          </w:p>
        </w:tc>
        <w:tc>
          <w:tcPr>
            <w:tcW w:w="30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16,678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6,738</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30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2,612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3,205</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liabilities</w:t>
            </w:r>
          </w:p>
        </w:tc>
        <w:tc>
          <w:tcPr>
            <w:tcW w:w="30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Government rebates payable</w:t>
            </w:r>
          </w:p>
        </w:tc>
        <w:tc>
          <w:tcPr>
            <w:tcW w:w="30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trade and other payables</w:t>
            </w:r>
          </w:p>
        </w:tc>
        <w:tc>
          <w:tcPr>
            <w:tcW w:w="30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139,927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81,704</w:t>
            </w:r>
          </w:p>
        </w:tc>
        <w:tc>
          <w:tcPr>
            <w:tcW w:w="0" w:type="dxa"/>
            <w:vAlign w:val="bottom"/>
          </w:tcPr>
          <w:p>
            <w:pPr>
              <w:spacing w:after="0"/>
              <w:rPr>
                <w:sz w:val="1"/>
                <w:szCs w:val="1"/>
                <w:color w:val="auto"/>
              </w:rPr>
            </w:pPr>
          </w:p>
        </w:tc>
      </w:tr>
      <w:tr>
        <w:trPr>
          <w:trHeight w:val="571"/>
        </w:trPr>
        <w:tc>
          <w:tcPr>
            <w:tcW w:w="5440" w:type="dxa"/>
            <w:vAlign w:val="bottom"/>
          </w:tcPr>
          <w:p>
            <w:pPr>
              <w:spacing w:after="0"/>
              <w:rPr>
                <w:sz w:val="24"/>
                <w:szCs w:val="24"/>
                <w:color w:val="auto"/>
              </w:rPr>
            </w:pPr>
          </w:p>
        </w:tc>
        <w:tc>
          <w:tcPr>
            <w:tcW w:w="4480" w:type="dxa"/>
            <w:vAlign w:val="bottom"/>
            <w:gridSpan w:val="3"/>
          </w:tcPr>
          <w:p>
            <w:pPr>
              <w:jc w:val="right"/>
              <w:ind w:right="4070"/>
              <w:spacing w:after="0"/>
              <w:rPr>
                <w:sz w:val="20"/>
                <w:szCs w:val="20"/>
                <w:color w:val="auto"/>
              </w:rPr>
            </w:pPr>
            <w:r>
              <w:rPr>
                <w:rFonts w:ascii="Times New Roman" w:cs="Times New Roman" w:eastAsia="Times New Roman" w:hAnsi="Times New Roman"/>
                <w:sz w:val="14"/>
                <w:szCs w:val="14"/>
                <w:color w:val="auto"/>
              </w:rPr>
              <w:t>F-45</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44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290" w:name="page291"/>
    <w:bookmarkEnd w:id="2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23.  Borrowings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2"/>
            <w:vMerge w:val="restart"/>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Secured</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1,490</w:t>
            </w: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left w:val="single" w:sz="8" w:color="CCEEFF"/>
              <w:bottom w:val="single" w:sz="8" w:color="auto"/>
              <w:right w:val="single" w:sz="8" w:color="CCEEFF"/>
            </w:tcBorders>
            <w:shd w:val="clear" w:color="auto" w:fill="CCEEFF"/>
          </w:tcPr>
          <w:p>
            <w:pPr>
              <w:spacing w:after="0"/>
              <w:rPr>
                <w:sz w:val="19"/>
                <w:szCs w:val="19"/>
                <w:color w:val="auto"/>
              </w:rPr>
            </w:pPr>
          </w:p>
        </w:tc>
        <w:tc>
          <w:tcPr>
            <w:tcW w:w="960" w:type="dxa"/>
            <w:vAlign w:val="bottom"/>
            <w:tcBorders>
              <w:left w:val="single" w:sz="8" w:color="CCEEFF"/>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13,765</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left w:val="single" w:sz="8" w:color="CCEEFF"/>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964</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Working capital facility</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secured borrowings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1,490</w:t>
            </w: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left w:val="single" w:sz="8" w:color="CCEEFF"/>
              <w:bottom w:val="single" w:sz="8" w:color="auto"/>
              <w:right w:val="single" w:sz="8" w:color="CCEEFF"/>
            </w:tcBorders>
            <w:shd w:val="clear" w:color="auto" w:fill="CCEEFF"/>
          </w:tcPr>
          <w:p>
            <w:pPr>
              <w:spacing w:after="0"/>
              <w:rPr>
                <w:sz w:val="19"/>
                <w:szCs w:val="19"/>
                <w:color w:val="auto"/>
              </w:rPr>
            </w:pPr>
          </w:p>
        </w:tc>
        <w:tc>
          <w:tcPr>
            <w:tcW w:w="960" w:type="dxa"/>
            <w:vAlign w:val="bottom"/>
            <w:tcBorders>
              <w:left w:val="single" w:sz="8" w:color="CCEEFF"/>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13,615</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left w:val="single" w:sz="8" w:color="CCEEFF"/>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964</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Unsecured</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bonds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17,500</w:t>
            </w: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left w:val="single" w:sz="8" w:color="CCEEFF"/>
              <w:bottom w:val="single" w:sz="8" w:color="auto"/>
              <w:right w:val="single" w:sz="8" w:color="CCEEFF"/>
            </w:tcBorders>
            <w:shd w:val="clear" w:color="auto" w:fill="CCEEFF"/>
          </w:tcPr>
          <w:p>
            <w:pPr>
              <w:spacing w:after="0"/>
              <w:rPr>
                <w:sz w:val="19"/>
                <w:szCs w:val="19"/>
                <w:color w:val="auto"/>
              </w:rPr>
            </w:pPr>
          </w:p>
        </w:tc>
        <w:tc>
          <w:tcPr>
            <w:tcW w:w="960" w:type="dxa"/>
            <w:vAlign w:val="bottom"/>
            <w:tcBorders>
              <w:left w:val="single" w:sz="8" w:color="CCEEFF"/>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538,206</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left w:val="single" w:sz="8" w:color="CCEEFF"/>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unsecured borrowings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17,500</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538,206</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borrowings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18,990</w:t>
            </w: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left w:val="single" w:sz="8" w:color="CCEEFF"/>
              <w:bottom w:val="single" w:sz="8" w:color="auto"/>
              <w:right w:val="single" w:sz="8" w:color="CCEEFF"/>
            </w:tcBorders>
            <w:shd w:val="clear" w:color="auto" w:fill="CCEEFF"/>
          </w:tcPr>
          <w:p>
            <w:pPr>
              <w:spacing w:after="0"/>
              <w:rPr>
                <w:sz w:val="19"/>
                <w:szCs w:val="19"/>
                <w:color w:val="auto"/>
              </w:rPr>
            </w:pPr>
          </w:p>
        </w:tc>
        <w:tc>
          <w:tcPr>
            <w:tcW w:w="960" w:type="dxa"/>
            <w:vAlign w:val="bottom"/>
            <w:tcBorders>
              <w:left w:val="single" w:sz="8" w:color="CCEEFF"/>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551,821</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left w:val="single" w:sz="8" w:color="CCEEFF"/>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964</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Lenders</w:t>
            </w:r>
          </w:p>
        </w:tc>
        <w:tc>
          <w:tcPr>
            <w:tcW w:w="2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Loan balance</w:t>
            </w:r>
          </w:p>
        </w:tc>
        <w:tc>
          <w:tcPr>
            <w:tcW w:w="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Due &lt; 1 year</w:t>
            </w:r>
          </w:p>
        </w:tc>
        <w:tc>
          <w:tcPr>
            <w:tcW w:w="2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Due &gt; 1 year</w:t>
            </w:r>
          </w:p>
        </w:tc>
        <w:tc>
          <w:tcPr>
            <w:tcW w:w="220" w:type="dxa"/>
            <w:vAlign w:val="bottom"/>
          </w:tcPr>
          <w:p>
            <w:pPr>
              <w:spacing w:after="0"/>
              <w:rPr>
                <w:sz w:val="18"/>
                <w:szCs w:val="18"/>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5"/>
              </w:rPr>
              <w:t>Facility limit</w:t>
            </w:r>
          </w:p>
        </w:tc>
        <w:tc>
          <w:tcPr>
            <w:tcW w:w="1160" w:type="dxa"/>
            <w:vAlign w:val="bottom"/>
          </w:tcPr>
          <w:p>
            <w:pPr>
              <w:spacing w:after="0"/>
              <w:rPr>
                <w:sz w:val="18"/>
                <w:szCs w:val="18"/>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0" w:type="dxa"/>
            <w:vAlign w:val="bottom"/>
          </w:tcPr>
          <w:p>
            <w:pPr>
              <w:spacing w:after="0"/>
              <w:rPr>
                <w:sz w:val="1"/>
                <w:szCs w:val="1"/>
                <w:color w:val="auto"/>
              </w:rPr>
            </w:pPr>
          </w:p>
        </w:tc>
      </w:tr>
      <w:tr>
        <w:trPr>
          <w:trHeight w:val="223"/>
        </w:trPr>
        <w:tc>
          <w:tcPr>
            <w:tcW w:w="336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2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2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20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160" w:type="dxa"/>
            <w:vAlign w:val="bottom"/>
            <w:tcBorders>
              <w:left w:val="single" w:sz="8" w:color="auto"/>
            </w:tcBorders>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20" w:type="dxa"/>
            <w:vAlign w:val="bottom"/>
            <w:tcBorders>
              <w:top w:val="single" w:sz="8" w:color="auto"/>
              <w:left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160" w:type="dxa"/>
            <w:vAlign w:val="bottom"/>
            <w:tcBorders>
              <w:top w:val="single" w:sz="8" w:color="auto"/>
              <w:left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3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Hongkong and Shanghai Banking</w:t>
            </w:r>
          </w:p>
        </w:tc>
        <w:tc>
          <w:tcPr>
            <w:tcW w:w="20" w:type="dxa"/>
            <w:vAlign w:val="bottom"/>
            <w:shd w:val="clear" w:color="auto" w:fill="000000"/>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tcBorders>
              <w:left w:val="single" w:sz="8" w:color="auto"/>
              <w:right w:val="single" w:sz="8" w:color="CCEEFF"/>
            </w:tcBorders>
            <w:shd w:val="clear" w:color="auto" w:fill="CCEEFF"/>
          </w:tcPr>
          <w:p>
            <w:pPr>
              <w:spacing w:after="0"/>
              <w:rPr>
                <w:sz w:val="17"/>
                <w:szCs w:val="17"/>
                <w:color w:val="auto"/>
              </w:rPr>
            </w:pPr>
          </w:p>
        </w:tc>
        <w:tc>
          <w:tcPr>
            <w:tcW w:w="96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Borders>
              <w:left w:val="single" w:sz="8" w:color="auto"/>
              <w:right w:val="single" w:sz="8" w:color="CCEEFF"/>
            </w:tcBorders>
            <w:shd w:val="clear" w:color="auto" w:fill="CCEEFF"/>
          </w:tcPr>
          <w:p>
            <w:pPr>
              <w:spacing w:after="0"/>
              <w:rPr>
                <w:sz w:val="17"/>
                <w:szCs w:val="17"/>
                <w:color w:val="auto"/>
              </w:rPr>
            </w:pPr>
          </w:p>
        </w:tc>
        <w:tc>
          <w:tcPr>
            <w:tcW w:w="1320" w:type="dxa"/>
            <w:vAlign w:val="bottom"/>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30-Jul-29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Corporation Limited As The Trustee For</w:t>
            </w:r>
          </w:p>
        </w:tc>
        <w:tc>
          <w:tcPr>
            <w:tcW w:w="20" w:type="dxa"/>
            <w:vAlign w:val="bottom"/>
            <w:shd w:val="clear" w:color="auto" w:fill="000000"/>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left w:val="single" w:sz="8" w:color="auto"/>
              <w:right w:val="single" w:sz="8" w:color="CCEEFF"/>
            </w:tcBorders>
            <w:shd w:val="clear" w:color="auto" w:fill="CCEEFF"/>
          </w:tcPr>
          <w:p>
            <w:pPr>
              <w:spacing w:after="0"/>
              <w:rPr>
                <w:sz w:val="18"/>
                <w:szCs w:val="18"/>
                <w:color w:val="auto"/>
              </w:rPr>
            </w:pPr>
          </w:p>
        </w:tc>
        <w:tc>
          <w:tcPr>
            <w:tcW w:w="96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left w:val="single" w:sz="8" w:color="auto"/>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6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Bond Holders</w:t>
            </w:r>
          </w:p>
        </w:tc>
        <w:tc>
          <w:tcPr>
            <w:tcW w:w="20" w:type="dxa"/>
            <w:vAlign w:val="bottom"/>
            <w:tcBorders>
              <w:bottom w:val="single" w:sz="8" w:color="auto"/>
            </w:tcBorders>
            <w:shd w:val="clear" w:color="auto" w:fill="000000"/>
          </w:tcPr>
          <w:p>
            <w:pPr>
              <w:spacing w:after="0"/>
              <w:rPr>
                <w:sz w:val="20"/>
                <w:szCs w:val="20"/>
                <w:color w:val="auto"/>
              </w:rPr>
            </w:pPr>
          </w:p>
        </w:tc>
        <w:tc>
          <w:tcPr>
            <w:tcW w:w="13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555,706</w:t>
            </w:r>
          </w:p>
        </w:tc>
        <w:tc>
          <w:tcPr>
            <w:tcW w:w="20" w:type="dxa"/>
            <w:vAlign w:val="bottom"/>
            <w:tcBorders>
              <w:bottom w:val="single" w:sz="8" w:color="auto"/>
            </w:tcBorders>
            <w:shd w:val="clear" w:color="auto" w:fill="000000"/>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17,500</w:t>
            </w:r>
          </w:p>
        </w:tc>
        <w:tc>
          <w:tcPr>
            <w:tcW w:w="20" w:type="dxa"/>
            <w:vAlign w:val="bottom"/>
            <w:tcBorders>
              <w:bottom w:val="single" w:sz="8" w:color="auto"/>
            </w:tcBorders>
            <w:shd w:val="clear" w:color="auto" w:fill="000000"/>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538,206</w:t>
            </w:r>
          </w:p>
        </w:tc>
        <w:tc>
          <w:tcPr>
            <w:tcW w:w="220" w:type="dxa"/>
            <w:vAlign w:val="bottom"/>
            <w:tcBorders>
              <w:left w:val="single" w:sz="8" w:color="auto"/>
              <w:bottom w:val="single" w:sz="8" w:color="auto"/>
              <w:right w:val="single" w:sz="8" w:color="CCEEFF"/>
            </w:tcBorders>
            <w:shd w:val="clear" w:color="auto" w:fill="CCEEFF"/>
          </w:tcPr>
          <w:p>
            <w:pPr>
              <w:spacing w:after="0"/>
              <w:rPr>
                <w:sz w:val="20"/>
                <w:szCs w:val="20"/>
                <w:color w:val="auto"/>
              </w:rPr>
            </w:pPr>
          </w:p>
        </w:tc>
        <w:tc>
          <w:tcPr>
            <w:tcW w:w="1120" w:type="dxa"/>
            <w:vAlign w:val="bottom"/>
            <w:tcBorders>
              <w:left w:val="single" w:sz="8" w:color="CCEEFF"/>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650,000</w:t>
            </w:r>
          </w:p>
        </w:tc>
        <w:tc>
          <w:tcPr>
            <w:tcW w:w="1160" w:type="dxa"/>
            <w:vAlign w:val="bottom"/>
            <w:tcBorders>
              <w:left w:val="single" w:sz="8" w:color="auto"/>
              <w:bottom w:val="single" w:sz="8" w:color="auto"/>
              <w:right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IMBC Group</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6,017</w:t>
            </w:r>
          </w:p>
        </w:tc>
        <w:tc>
          <w:tcPr>
            <w:tcW w:w="20" w:type="dxa"/>
            <w:vAlign w:val="bottom"/>
            <w:tcBorders>
              <w:bottom w:val="single" w:sz="8" w:color="auto"/>
            </w:tcBorders>
            <w:shd w:val="clear" w:color="auto" w:fill="000000"/>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Borders>
              <w:bottom w:val="single" w:sz="8" w:color="auto"/>
            </w:tcBorders>
            <w:shd w:val="clear" w:color="auto" w:fill="000000"/>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5,915</w:t>
            </w:r>
          </w:p>
        </w:tc>
        <w:tc>
          <w:tcPr>
            <w:tcW w:w="220" w:type="dxa"/>
            <w:vAlign w:val="bottom"/>
            <w:tcBorders>
              <w:left w:val="single" w:sz="8" w:color="auto"/>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6,458</w:t>
            </w:r>
          </w:p>
        </w:tc>
        <w:tc>
          <w:tcPr>
            <w:tcW w:w="1160" w:type="dxa"/>
            <w:vAlign w:val="bottom"/>
            <w:tcBorders>
              <w:left w:val="single" w:sz="8" w:color="auto"/>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31-Mar-33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9,238</w:t>
            </w:r>
          </w:p>
        </w:tc>
        <w:tc>
          <w:tcPr>
            <w:tcW w:w="20" w:type="dxa"/>
            <w:vAlign w:val="bottom"/>
            <w:tcBorders>
              <w:bottom w:val="single" w:sz="8" w:color="auto"/>
            </w:tcBorders>
            <w:shd w:val="clear" w:color="auto" w:fill="000000"/>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1,388</w:t>
            </w:r>
          </w:p>
        </w:tc>
        <w:tc>
          <w:tcPr>
            <w:tcW w:w="20" w:type="dxa"/>
            <w:vAlign w:val="bottom"/>
            <w:tcBorders>
              <w:bottom w:val="single" w:sz="8" w:color="auto"/>
            </w:tcBorders>
            <w:shd w:val="clear" w:color="auto" w:fill="000000"/>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7,850</w:t>
            </w:r>
          </w:p>
        </w:tc>
        <w:tc>
          <w:tcPr>
            <w:tcW w:w="22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1120" w:type="dxa"/>
            <w:vAlign w:val="bottom"/>
            <w:tcBorders>
              <w:left w:val="single" w:sz="8" w:color="CCEEFF"/>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13,077</w:t>
            </w:r>
          </w:p>
        </w:tc>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29-Feb-32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HSBC Australia Ltd</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Borders>
              <w:bottom w:val="single" w:sz="8" w:color="auto"/>
            </w:tcBorders>
            <w:shd w:val="clear" w:color="auto" w:fill="000000"/>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Borders>
              <w:left w:val="single" w:sz="8" w:color="auto"/>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2480" w:type="dxa"/>
            <w:vAlign w:val="bottom"/>
            <w:tcBorders>
              <w:left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 years from first utilization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570,811</w:t>
            </w:r>
          </w:p>
        </w:tc>
        <w:tc>
          <w:tcPr>
            <w:tcW w:w="20" w:type="dxa"/>
            <w:vAlign w:val="bottom"/>
            <w:tcBorders>
              <w:bottom w:val="single" w:sz="8" w:color="auto"/>
            </w:tcBorders>
            <w:shd w:val="clear" w:color="auto" w:fill="000000"/>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18,990</w:t>
            </w:r>
          </w:p>
        </w:tc>
        <w:tc>
          <w:tcPr>
            <w:tcW w:w="20" w:type="dxa"/>
            <w:vAlign w:val="bottom"/>
            <w:tcBorders>
              <w:bottom w:val="single" w:sz="8" w:color="auto"/>
            </w:tcBorders>
            <w:shd w:val="clear" w:color="auto" w:fill="000000"/>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551,821</w:t>
            </w:r>
          </w:p>
        </w:tc>
        <w:tc>
          <w:tcPr>
            <w:tcW w:w="22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1120" w:type="dxa"/>
            <w:vAlign w:val="bottom"/>
            <w:tcBorders>
              <w:left w:val="single" w:sz="8" w:color="CCEEFF"/>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719,535</w:t>
            </w:r>
          </w:p>
        </w:tc>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Lenders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Loan balance</w:t>
            </w:r>
          </w:p>
        </w:tc>
        <w:tc>
          <w:tcPr>
            <w:tcW w:w="40" w:type="dxa"/>
            <w:vAlign w:val="bottom"/>
          </w:tcPr>
          <w:p>
            <w:pPr>
              <w:spacing w:after="0"/>
              <w:rPr>
                <w:sz w:val="18"/>
                <w:szCs w:val="18"/>
                <w:color w:val="auto"/>
              </w:rPr>
            </w:pPr>
          </w:p>
        </w:tc>
        <w:tc>
          <w:tcPr>
            <w:tcW w:w="130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Due &lt; 1 year</w:t>
            </w:r>
          </w:p>
        </w:tc>
        <w:tc>
          <w:tcPr>
            <w:tcW w:w="40" w:type="dxa"/>
            <w:vAlign w:val="bottom"/>
          </w:tcPr>
          <w:p>
            <w:pPr>
              <w:spacing w:after="0"/>
              <w:rPr>
                <w:sz w:val="18"/>
                <w:szCs w:val="18"/>
                <w:color w:val="auto"/>
              </w:rPr>
            </w:pPr>
          </w:p>
        </w:tc>
        <w:tc>
          <w:tcPr>
            <w:tcW w:w="128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Due &gt; 1 year</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0" w:type="dxa"/>
            <w:vAlign w:val="bottom"/>
          </w:tcPr>
          <w:p>
            <w:pPr>
              <w:spacing w:after="0"/>
              <w:rPr>
                <w:sz w:val="1"/>
                <w:szCs w:val="1"/>
                <w:color w:val="auto"/>
              </w:rPr>
            </w:pPr>
          </w:p>
        </w:tc>
      </w:tr>
      <w:tr>
        <w:trPr>
          <w:trHeight w:val="223"/>
        </w:trPr>
        <w:tc>
          <w:tcPr>
            <w:tcW w:w="33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40" w:type="dxa"/>
            <w:vAlign w:val="bottom"/>
            <w:shd w:val="clear" w:color="auto" w:fill="000000"/>
          </w:tcPr>
          <w:p>
            <w:pPr>
              <w:spacing w:after="0"/>
              <w:rPr>
                <w:sz w:val="19"/>
                <w:szCs w:val="19"/>
                <w:color w:val="auto"/>
              </w:rPr>
            </w:pPr>
          </w:p>
        </w:tc>
        <w:tc>
          <w:tcPr>
            <w:tcW w:w="1300" w:type="dxa"/>
            <w:vAlign w:val="bottom"/>
            <w:gridSpan w:val="4"/>
            <w:vMerge w:val="continue"/>
          </w:tcPr>
          <w:p>
            <w:pPr>
              <w:spacing w:after="0"/>
              <w:rPr>
                <w:sz w:val="19"/>
                <w:szCs w:val="19"/>
                <w:color w:val="auto"/>
              </w:rPr>
            </w:pPr>
          </w:p>
        </w:tc>
        <w:tc>
          <w:tcPr>
            <w:tcW w:w="40" w:type="dxa"/>
            <w:vAlign w:val="bottom"/>
            <w:shd w:val="clear" w:color="auto" w:fill="000000"/>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96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top w:val="single" w:sz="8" w:color="auto"/>
              <w:bottom w:val="single" w:sz="8" w:color="auto"/>
            </w:tcBorders>
            <w:shd w:val="clear" w:color="auto" w:fill="000000"/>
          </w:tcPr>
          <w:p>
            <w:pPr>
              <w:spacing w:after="0"/>
              <w:rPr>
                <w:sz w:val="19"/>
                <w:szCs w:val="19"/>
                <w:color w:val="auto"/>
              </w:rPr>
            </w:pPr>
          </w:p>
        </w:tc>
        <w:tc>
          <w:tcPr>
            <w:tcW w:w="1300" w:type="dxa"/>
            <w:vAlign w:val="bottom"/>
            <w:tcBorders>
              <w:top w:val="single" w:sz="8" w:color="auto"/>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top w:val="single" w:sz="8" w:color="auto"/>
              <w:bottom w:val="single" w:sz="8" w:color="auto"/>
            </w:tcBorders>
            <w:shd w:val="clear" w:color="auto" w:fill="000000"/>
          </w:tcPr>
          <w:p>
            <w:pPr>
              <w:spacing w:after="0"/>
              <w:rPr>
                <w:sz w:val="19"/>
                <w:szCs w:val="19"/>
                <w:color w:val="auto"/>
              </w:rPr>
            </w:pPr>
          </w:p>
        </w:tc>
        <w:tc>
          <w:tcPr>
            <w:tcW w:w="128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960" w:type="dxa"/>
            <w:vAlign w:val="bottom"/>
            <w:tcBorders>
              <w:top w:val="single" w:sz="8" w:color="auto"/>
              <w:left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w:t>
            </w:r>
          </w:p>
        </w:tc>
        <w:tc>
          <w:tcPr>
            <w:tcW w:w="260" w:type="dxa"/>
            <w:vAlign w:val="bottom"/>
            <w:tcBorders>
              <w:bottom w:val="single" w:sz="8" w:color="auto"/>
              <w:right w:val="single" w:sz="8" w:color="auto"/>
            </w:tcBorders>
            <w:gridSpan w:val="2"/>
            <w:shd w:val="clear" w:color="auto" w:fill="CCEEFF"/>
          </w:tcPr>
          <w:p>
            <w:pPr>
              <w:spacing w:after="0"/>
              <w:rPr>
                <w:sz w:val="19"/>
                <w:szCs w:val="19"/>
                <w:color w:val="auto"/>
              </w:rPr>
            </w:pPr>
          </w:p>
        </w:tc>
        <w:tc>
          <w:tcPr>
            <w:tcW w:w="136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9,173</w:t>
            </w: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right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8,209</w:t>
            </w:r>
          </w:p>
        </w:tc>
        <w:tc>
          <w:tcPr>
            <w:tcW w:w="9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left w:val="single" w:sz="8" w:color="CCEEFF"/>
              <w:bottom w:val="single" w:sz="8" w:color="auto"/>
              <w:right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29-Feb-32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right w:val="single" w:sz="8" w:color="auto"/>
            </w:tcBorders>
            <w:gridSpan w:val="2"/>
          </w:tcPr>
          <w:p>
            <w:pPr>
              <w:spacing w:after="0"/>
              <w:rPr>
                <w:sz w:val="19"/>
                <w:szCs w:val="19"/>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9,173</w:t>
            </w: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964</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8,209</w:t>
            </w:r>
          </w:p>
        </w:tc>
        <w:tc>
          <w:tcPr>
            <w:tcW w:w="96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23.1.Bank loans</w:t>
      </w:r>
    </w:p>
    <w:p>
      <w:pPr>
        <w:spacing w:after="0" w:line="22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bank loans outstanding at December 31, 2024 are in relation to the build-out of the Brussels South radiopharmaceutical production facility. Telix Pharmaceuticals (Belgium) SPRL (a wholly owned subsidiary of Telix) entered into two loan agreements, one with BNP Paribas and IMBC Group totaling €10,100,000 on a 10-year term, and a second loan with BNP Paribas totaling €2,000,000 on a two-year extendable term. All loans have a two-year repayment holiday period, with repayments due to commence from March 2024. The loans are secured by a fixed charge over the facility.</w:t>
      </w:r>
    </w:p>
    <w:p>
      <w:pPr>
        <w:spacing w:after="0" w:line="18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loan agreements entitle BNP Paribas and IMBC Group to suspend or terminate all or part of the undrawn portion of the loan facilities with immediate effect and without prior notice. At December 31, 2024, the undrawn portion under the agreements was €2,407,000 ($4,036,000). As at the reporting date Telix has not received any notice to this effect.</w:t>
      </w:r>
    </w:p>
    <w:p>
      <w:pPr>
        <w:spacing w:after="0" w:line="17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loan agreements require Telix Pharmaceuticals (Belgium) SPRL to comply with various covenants relating to the conduct of the business, including non-payment of required repayments, specified cross-defaults (in the event of the use of trade bills) and ensuring cumulative losses of Telix Pharmaceuticals (Belgium) SPRL do not exceed 25% of its capital and reserves. Upon the occurrence of an event of default and in the event of a change of control, BNP Paribas and IMBC Group may accelerate payments due under the loan agreements or terminate the loan agreements. There were no events of default or changes of control during the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23.2.Working capital facility</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December 17, 2024, the Group entered into an agreement with HSBC Bank Australia Limited (HSBC) to obtain a working capital facility of up to $50,000,000. To date, the Group has not utilized this facility and has incurred establishment fee costs of $150,000 associated with the facility.</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working capital facility is secured by a cash security deposit on an interest-bearing term deposit of $50,000,000 held by HSBC with a maturity date equivalent to the term of the facility. There are no financial covenants associated with the facility. Refer to note 16 for further details.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91" w:name="page292"/>
    <w:bookmarkEnd w:id="29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23.3.Convertible bonds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July 30, 2024 the Group completed the issue of $650,000,000 in convertible bonds maturing in 2029. The bonds are convertible into fully paid ordinary shares in Telix Pharmaceuticals Limited. The initial conversion price of the convertible bonds is $24.78 per share, subject to anti-dilution adjustments set out in the final terms and conditions of the convertible bonds. The net proceeds were $635,093,000, after transaction costs.</w:t>
      </w:r>
    </w:p>
    <w:p>
      <w:pPr>
        <w:spacing w:after="0" w:line="176"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The convertible bonds will bear interest at a rate of 2.375 per cent per annum. Interest will be payable quarterly in arrears on October 30, January 30, April 30 and July 30 in each year, beginning on October 30, 2024. The convertible bonds will mature on or about July 30, 2029, unless redeemed, repurchased, or converted in accordance with their terms. The convertible bonds are listed on the Singapore Exchange Securities Trading Limited (SGX-ST).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The convertible bonds are presented in the Group’s consolidated statement of financial position as follows:</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3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560" w:type="dxa"/>
            <w:vAlign w:val="bottom"/>
            <w:tcBorders>
              <w:right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Face value of convertible bonds issued</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equity securities - value of conversion rights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Unwind of discount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13,773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6,419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555,706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538,206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convertible bond liability</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555,706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initial fair value of the liability portion of the bond was determined using a market interest rate for an equivalent non-convertible bond at the issue date. This fair value has been reduced by directly attributable transaction costs associated with the issue of the convertible bonds. The liability is subsequently recognized on an amortized cost basis until extinguished on conversion or maturity of the bonds. The remainder of the proceeds is allocated to the conversion option and recognized as part of the share capital reserve, net of income tax and a proportion of transaction costs, and is not subsequently remeasured. Refer to note 29.2.2 for further details.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23.4.Reconciliation of liabilities arising from financing activities</w:t>
            </w: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Opening</w:t>
            </w:r>
          </w:p>
        </w:tc>
        <w:tc>
          <w:tcPr>
            <w:tcW w:w="2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Net cash inflow/</w:t>
            </w:r>
          </w:p>
        </w:tc>
        <w:tc>
          <w:tcPr>
            <w:tcW w:w="4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Other non-</w:t>
            </w:r>
          </w:p>
        </w:tc>
        <w:tc>
          <w:tcPr>
            <w:tcW w:w="20" w:type="dxa"/>
            <w:vAlign w:val="bottom"/>
          </w:tcPr>
          <w:p>
            <w:pPr>
              <w:spacing w:after="0"/>
              <w:rPr>
                <w:sz w:val="18"/>
                <w:szCs w:val="18"/>
                <w:color w:val="auto"/>
              </w:rPr>
            </w:pPr>
          </w:p>
        </w:tc>
        <w:tc>
          <w:tcPr>
            <w:tcW w:w="14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0" w:type="dxa"/>
            <w:vAlign w:val="bottom"/>
          </w:tcPr>
          <w:p>
            <w:pPr>
              <w:spacing w:after="0"/>
              <w:rPr>
                <w:sz w:val="1"/>
                <w:szCs w:val="1"/>
                <w:color w:val="auto"/>
              </w:rPr>
            </w:pPr>
          </w:p>
        </w:tc>
      </w:tr>
      <w:tr>
        <w:trPr>
          <w:trHeight w:val="194"/>
        </w:trPr>
        <w:tc>
          <w:tcPr>
            <w:tcW w:w="510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28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20" w:type="dxa"/>
            <w:vAlign w:val="bottom"/>
            <w:vMerge w:val="continue"/>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14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10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 w:type="dxa"/>
            <w:vAlign w:val="bottom"/>
            <w:shd w:val="clear" w:color="auto" w:fill="000000"/>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(outflow)</w:t>
            </w:r>
          </w:p>
        </w:tc>
        <w:tc>
          <w:tcPr>
            <w:tcW w:w="40" w:type="dxa"/>
            <w:vAlign w:val="bottom"/>
            <w:shd w:val="clear" w:color="auto" w:fill="000000"/>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cash movements</w:t>
            </w:r>
          </w:p>
        </w:tc>
        <w:tc>
          <w:tcPr>
            <w:tcW w:w="20" w:type="dxa"/>
            <w:vAlign w:val="bottom"/>
            <w:shd w:val="clear" w:color="auto" w:fill="000000"/>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28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420" w:type="dxa"/>
            <w:vAlign w:val="bottom"/>
            <w:tcBorders>
              <w:bottom w:val="single" w:sz="8" w:color="auto"/>
            </w:tcBorders>
            <w:vMerge w:val="continue"/>
          </w:tcPr>
          <w:p>
            <w:pPr>
              <w:spacing w:after="0"/>
              <w:rPr>
                <w:sz w:val="10"/>
                <w:szCs w:val="10"/>
                <w:color w:val="auto"/>
              </w:rPr>
            </w:pPr>
          </w:p>
        </w:tc>
        <w:tc>
          <w:tcPr>
            <w:tcW w:w="40" w:type="dxa"/>
            <w:vAlign w:val="bottom"/>
            <w:tcBorders>
              <w:bottom w:val="single" w:sz="8" w:color="auto"/>
            </w:tcBorders>
            <w:shd w:val="clear" w:color="auto" w:fill="000000"/>
          </w:tcPr>
          <w:p>
            <w:pPr>
              <w:spacing w:after="0"/>
              <w:rPr>
                <w:sz w:val="10"/>
                <w:szCs w:val="10"/>
                <w:color w:val="auto"/>
              </w:rPr>
            </w:pPr>
          </w:p>
        </w:tc>
        <w:tc>
          <w:tcPr>
            <w:tcW w:w="142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shd w:val="clear" w:color="auto" w:fill="000000"/>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5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loans</w:t>
            </w:r>
          </w:p>
        </w:tc>
        <w:tc>
          <w:tcPr>
            <w:tcW w:w="500" w:type="dxa"/>
            <w:vAlign w:val="bottom"/>
            <w:tcBorders>
              <w:bottom w:val="single" w:sz="8" w:color="auto"/>
              <w:right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20" w:type="dxa"/>
            <w:vAlign w:val="bottom"/>
            <w:tcBorders>
              <w:bottom w:val="single" w:sz="8" w:color="auto"/>
            </w:tcBorders>
            <w:shd w:val="clear" w:color="auto" w:fill="000000"/>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40" w:type="dxa"/>
            <w:vAlign w:val="bottom"/>
            <w:tcBorders>
              <w:bottom w:val="single" w:sz="8" w:color="auto"/>
            </w:tcBorders>
            <w:shd w:val="clear" w:color="auto" w:fill="000000"/>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0" w:type="dxa"/>
            <w:vAlign w:val="bottom"/>
            <w:tcBorders>
              <w:bottom w:val="single" w:sz="8" w:color="auto"/>
            </w:tcBorders>
            <w:shd w:val="clear" w:color="auto" w:fill="000000"/>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15,255</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Convertible bonds</w:t>
            </w:r>
          </w:p>
        </w:tc>
        <w:tc>
          <w:tcPr>
            <w:tcW w:w="5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635,028</w:t>
            </w:r>
          </w:p>
        </w:tc>
        <w:tc>
          <w:tcPr>
            <w:tcW w:w="40" w:type="dxa"/>
            <w:vAlign w:val="bottom"/>
            <w:tcBorders>
              <w:bottom w:val="single" w:sz="8" w:color="auto"/>
            </w:tcBorders>
            <w:shd w:val="clear" w:color="auto" w:fill="000000"/>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(79,322)</w:t>
            </w:r>
          </w:p>
        </w:tc>
        <w:tc>
          <w:tcPr>
            <w:tcW w:w="20" w:type="dxa"/>
            <w:vAlign w:val="bottom"/>
            <w:tcBorders>
              <w:bottom w:val="single" w:sz="8" w:color="auto"/>
            </w:tcBorders>
            <w:shd w:val="clear" w:color="auto" w:fill="000000"/>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555,706</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500" w:type="dxa"/>
            <w:vAlign w:val="bottom"/>
            <w:tcBorders>
              <w:bottom w:val="single" w:sz="8" w:color="auto"/>
              <w:right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20" w:type="dxa"/>
            <w:vAlign w:val="bottom"/>
            <w:tcBorders>
              <w:bottom w:val="single" w:sz="8" w:color="auto"/>
            </w:tcBorders>
            <w:shd w:val="clear" w:color="auto" w:fill="000000"/>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40" w:type="dxa"/>
            <w:vAlign w:val="bottom"/>
            <w:tcBorders>
              <w:bottom w:val="single" w:sz="8" w:color="auto"/>
            </w:tcBorders>
            <w:shd w:val="clear" w:color="auto" w:fill="000000"/>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20" w:type="dxa"/>
            <w:vAlign w:val="bottom"/>
            <w:tcBorders>
              <w:bottom w:val="single" w:sz="8" w:color="auto"/>
            </w:tcBorders>
            <w:shd w:val="clear" w:color="auto" w:fill="000000"/>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10,637</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17,445</w:t>
            </w:r>
          </w:p>
        </w:tc>
        <w:tc>
          <w:tcPr>
            <w:tcW w:w="20" w:type="dxa"/>
            <w:vAlign w:val="bottom"/>
            <w:tcBorders>
              <w:bottom w:val="single" w:sz="8" w:color="auto"/>
            </w:tcBorders>
            <w:shd w:val="clear" w:color="auto" w:fill="000000"/>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637,712</w:t>
            </w:r>
          </w:p>
        </w:tc>
        <w:tc>
          <w:tcPr>
            <w:tcW w:w="40" w:type="dxa"/>
            <w:vAlign w:val="bottom"/>
            <w:tcBorders>
              <w:bottom w:val="single" w:sz="8" w:color="auto"/>
            </w:tcBorders>
            <w:shd w:val="clear" w:color="auto" w:fill="000000"/>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(73,559)</w:t>
            </w:r>
          </w:p>
        </w:tc>
        <w:tc>
          <w:tcPr>
            <w:tcW w:w="20" w:type="dxa"/>
            <w:vAlign w:val="bottom"/>
            <w:tcBorders>
              <w:bottom w:val="single" w:sz="8" w:color="auto"/>
            </w:tcBorders>
            <w:shd w:val="clear" w:color="auto" w:fill="000000"/>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581,598</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500" w:type="dxa"/>
            <w:vAlign w:val="bottom"/>
            <w:tcBorders>
              <w:bottom w:val="single" w:sz="8" w:color="auto"/>
              <w:right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Bank loans</w:t>
            </w:r>
          </w:p>
        </w:tc>
        <w:tc>
          <w:tcPr>
            <w:tcW w:w="5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20" w:type="dxa"/>
            <w:vAlign w:val="bottom"/>
            <w:tcBorders>
              <w:bottom w:val="single" w:sz="8" w:color="auto"/>
            </w:tcBorders>
            <w:shd w:val="clear" w:color="auto" w:fill="000000"/>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5,756</w:t>
            </w:r>
          </w:p>
        </w:tc>
        <w:tc>
          <w:tcPr>
            <w:tcW w:w="40" w:type="dxa"/>
            <w:vAlign w:val="bottom"/>
            <w:tcBorders>
              <w:bottom w:val="single" w:sz="8" w:color="auto"/>
            </w:tcBorders>
            <w:shd w:val="clear" w:color="auto" w:fill="000000"/>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Borders>
              <w:bottom w:val="single" w:sz="8" w:color="auto"/>
            </w:tcBorders>
            <w:shd w:val="clear" w:color="auto" w:fill="000000"/>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9,173</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500" w:type="dxa"/>
            <w:vAlign w:val="bottom"/>
            <w:tcBorders>
              <w:bottom w:val="single" w:sz="8" w:color="auto"/>
              <w:right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20" w:type="dxa"/>
            <w:vAlign w:val="bottom"/>
            <w:tcBorders>
              <w:bottom w:val="single" w:sz="8" w:color="auto"/>
            </w:tcBorders>
            <w:shd w:val="clear" w:color="auto" w:fill="000000"/>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40" w:type="dxa"/>
            <w:vAlign w:val="bottom"/>
            <w:tcBorders>
              <w:bottom w:val="single" w:sz="8" w:color="auto"/>
            </w:tcBorders>
            <w:shd w:val="clear" w:color="auto" w:fill="000000"/>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0" w:type="dxa"/>
            <w:vAlign w:val="bottom"/>
            <w:tcBorders>
              <w:bottom w:val="single" w:sz="8" w:color="auto"/>
            </w:tcBorders>
            <w:shd w:val="clear" w:color="auto" w:fill="000000"/>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8,272</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10,446</w:t>
            </w:r>
          </w:p>
        </w:tc>
        <w:tc>
          <w:tcPr>
            <w:tcW w:w="20" w:type="dxa"/>
            <w:vAlign w:val="bottom"/>
            <w:tcBorders>
              <w:bottom w:val="single" w:sz="8" w:color="auto"/>
            </w:tcBorders>
            <w:shd w:val="clear" w:color="auto" w:fill="000000"/>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2,898</w:t>
            </w:r>
          </w:p>
        </w:tc>
        <w:tc>
          <w:tcPr>
            <w:tcW w:w="40" w:type="dxa"/>
            <w:vAlign w:val="bottom"/>
            <w:tcBorders>
              <w:bottom w:val="single" w:sz="8" w:color="auto"/>
            </w:tcBorders>
            <w:shd w:val="clear" w:color="auto" w:fill="000000"/>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4,101</w:t>
            </w:r>
          </w:p>
        </w:tc>
        <w:tc>
          <w:tcPr>
            <w:tcW w:w="20" w:type="dxa"/>
            <w:vAlign w:val="bottom"/>
            <w:tcBorders>
              <w:bottom w:val="single" w:sz="8" w:color="auto"/>
            </w:tcBorders>
            <w:shd w:val="clear" w:color="auto" w:fill="000000"/>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17,445</w:t>
            </w:r>
          </w:p>
        </w:tc>
        <w:tc>
          <w:tcPr>
            <w:tcW w:w="0" w:type="dxa"/>
            <w:vAlign w:val="bottom"/>
          </w:tcPr>
          <w:p>
            <w:pPr>
              <w:spacing w:after="0"/>
              <w:rPr>
                <w:sz w:val="1"/>
                <w:szCs w:val="1"/>
                <w:color w:val="auto"/>
              </w:rPr>
            </w:pPr>
          </w:p>
        </w:tc>
      </w:tr>
      <w:tr>
        <w:trPr>
          <w:trHeight w:val="571"/>
        </w:trPr>
        <w:tc>
          <w:tcPr>
            <w:tcW w:w="5100" w:type="dxa"/>
            <w:vAlign w:val="bottom"/>
          </w:tcPr>
          <w:p>
            <w:pPr>
              <w:spacing w:after="0"/>
              <w:rPr>
                <w:sz w:val="24"/>
                <w:szCs w:val="24"/>
                <w:color w:val="auto"/>
              </w:rPr>
            </w:pPr>
          </w:p>
        </w:tc>
        <w:tc>
          <w:tcPr>
            <w:tcW w:w="1780" w:type="dxa"/>
            <w:vAlign w:val="bottom"/>
            <w:gridSpan w:val="2"/>
          </w:tcPr>
          <w:p>
            <w:pPr>
              <w:jc w:val="right"/>
              <w:ind w:right="1030"/>
              <w:spacing w:after="0"/>
              <w:rPr>
                <w:sz w:val="20"/>
                <w:szCs w:val="20"/>
                <w:color w:val="auto"/>
              </w:rPr>
            </w:pPr>
            <w:r>
              <w:rPr>
                <w:rFonts w:ascii="Times New Roman" w:cs="Times New Roman" w:eastAsia="Times New Roman" w:hAnsi="Times New Roman"/>
                <w:sz w:val="14"/>
                <w:szCs w:val="14"/>
                <w:color w:val="auto"/>
              </w:rPr>
              <w:t>F-47</w:t>
            </w: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Other non-cash movements include recognition of the conversion option as part of the share capital reserve, new leases entered into during the year, leases acquired via acquisitions of a business, disposal of leases and exchange differences.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23.5.Fair value</w:t>
      </w:r>
    </w:p>
    <w:p>
      <w:pPr>
        <w:spacing w:after="0" w:line="2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For bank loans, the fair values are not materially different to their carrying amounts, since the interest payable on those borrowings is either close to current market rates or the borrowings are of a short-term nature.</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the convertible bonds, the fair value is outlined below. The fair value is based on discounted cash flows using a current borrowing rate. They are classified as level 3 fair values in the fair value hierarchy (refer to note 32.6) due to the use of unobservable inputs, including own credit risk.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19"/>
                <w:szCs w:val="19"/>
                <w:color w:val="auto"/>
              </w:rPr>
            </w:pPr>
          </w:p>
        </w:tc>
      </w:tr>
      <w:tr>
        <w:trPr>
          <w:trHeight w:val="223"/>
        </w:trPr>
        <w:tc>
          <w:tcPr>
            <w:tcW w:w="5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40" w:type="dxa"/>
            <w:vAlign w:val="bottom"/>
          </w:tcPr>
          <w:p>
            <w:pPr>
              <w:spacing w:after="0"/>
              <w:rPr>
                <w:sz w:val="19"/>
                <w:szCs w:val="19"/>
                <w:color w:val="auto"/>
              </w:rPr>
            </w:pPr>
          </w:p>
        </w:tc>
      </w:tr>
      <w:tr>
        <w:trPr>
          <w:trHeight w:val="223"/>
        </w:trPr>
        <w:tc>
          <w:tcPr>
            <w:tcW w:w="5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A$'000</w:t>
            </w:r>
          </w:p>
        </w:tc>
        <w:tc>
          <w:tcPr>
            <w:tcW w:w="1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440" w:type="dxa"/>
            <w:vAlign w:val="bottom"/>
          </w:tcPr>
          <w:p>
            <w:pPr>
              <w:spacing w:after="0"/>
              <w:rPr>
                <w:sz w:val="19"/>
                <w:szCs w:val="19"/>
                <w:color w:val="auto"/>
              </w:rPr>
            </w:pPr>
          </w:p>
        </w:tc>
      </w:tr>
      <w:tr>
        <w:trPr>
          <w:trHeight w:val="223"/>
        </w:trPr>
        <w:tc>
          <w:tcPr>
            <w:tcW w:w="52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loans</w:t>
            </w:r>
          </w:p>
        </w:tc>
        <w:tc>
          <w:tcPr>
            <w:tcW w:w="1540" w:type="dxa"/>
            <w:vAlign w:val="bottom"/>
            <w:tcBorders>
              <w:bottom w:val="single" w:sz="8" w:color="auto"/>
              <w:right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15,255</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9,173</w:t>
            </w:r>
          </w:p>
        </w:tc>
        <w:tc>
          <w:tcPr>
            <w:tcW w:w="440" w:type="dxa"/>
            <w:vAlign w:val="bottom"/>
          </w:tcPr>
          <w:p>
            <w:pPr>
              <w:spacing w:after="0"/>
              <w:rPr>
                <w:sz w:val="19"/>
                <w:szCs w:val="19"/>
                <w:color w:val="auto"/>
              </w:rPr>
            </w:pPr>
          </w:p>
        </w:tc>
      </w:tr>
      <w:tr>
        <w:trPr>
          <w:trHeight w:val="223"/>
        </w:trPr>
        <w:tc>
          <w:tcPr>
            <w:tcW w:w="5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Convertible bonds</w:t>
            </w:r>
          </w:p>
        </w:tc>
        <w:tc>
          <w:tcPr>
            <w:tcW w:w="1540" w:type="dxa"/>
            <w:vAlign w:val="bottom"/>
            <w:tcBorders>
              <w:bottom w:val="single" w:sz="8" w:color="auto"/>
              <w:right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555,706</w:t>
            </w:r>
          </w:p>
        </w:tc>
        <w:tc>
          <w:tcPr>
            <w:tcW w:w="1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556,042</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r>
      <w:tr>
        <w:trPr>
          <w:trHeight w:val="571"/>
        </w:trPr>
        <w:tc>
          <w:tcPr>
            <w:tcW w:w="5260" w:type="dxa"/>
            <w:vAlign w:val="bottom"/>
          </w:tcPr>
          <w:p>
            <w:pPr>
              <w:spacing w:after="0"/>
              <w:rPr>
                <w:sz w:val="24"/>
                <w:szCs w:val="24"/>
                <w:color w:val="auto"/>
              </w:rPr>
            </w:pPr>
          </w:p>
        </w:tc>
        <w:tc>
          <w:tcPr>
            <w:tcW w:w="1540" w:type="dxa"/>
            <w:vAlign w:val="bottom"/>
          </w:tcPr>
          <w:p>
            <w:pPr>
              <w:jc w:val="right"/>
              <w:ind w:right="954"/>
              <w:spacing w:after="0"/>
              <w:rPr>
                <w:sz w:val="20"/>
                <w:szCs w:val="20"/>
                <w:color w:val="auto"/>
              </w:rPr>
            </w:pPr>
            <w:r>
              <w:rPr>
                <w:rFonts w:ascii="Times New Roman" w:cs="Times New Roman" w:eastAsia="Times New Roman" w:hAnsi="Times New Roman"/>
                <w:sz w:val="14"/>
                <w:szCs w:val="14"/>
                <w:color w:val="auto"/>
              </w:rPr>
              <w:t>F-48</w:t>
            </w: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
        </w:trPr>
        <w:tc>
          <w:tcPr>
            <w:tcW w:w="52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23.6.Risk exposures</w:t>
      </w:r>
    </w:p>
    <w:p>
      <w:pPr>
        <w:spacing w:after="0" w:line="221"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Capital risk management: </w:t>
      </w:r>
      <w:r>
        <w:rPr>
          <w:rFonts w:ascii="Times New Roman" w:cs="Times New Roman" w:eastAsia="Times New Roman" w:hAnsi="Times New Roman"/>
          <w:sz w:val="18"/>
          <w:szCs w:val="18"/>
          <w:color w:val="auto"/>
        </w:rPr>
        <w:t>Capital is defined as the combination of shareholders’ equity, reserves and net debt. The key objective of the Group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its capital is to safeguard its ability to continue as a going concern, so that the Group can continue to provide benefits for stakeholders and maintain an optimal capital and funding structure. The aim of the Group’s capital management framework is to maintain, monitor and secure access to future funding arrangements to finance the necessary research and development activities being performed by the Group.</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24.</w:t>
        <w:tab/>
        <w:t>Contract liabilities</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Group has recognized the following liabilities related to contracts with customers in licensing arrangements and non-reimbursable government grants received: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60" w:type="dxa"/>
            <w:vAlign w:val="bottom"/>
            <w:tcBorders>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5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r>
      <w:tr>
        <w:trPr>
          <w:trHeight w:val="223"/>
        </w:trPr>
        <w:tc>
          <w:tcPr>
            <w:tcW w:w="85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13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23,157</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27,462</w:t>
            </w:r>
          </w:p>
        </w:tc>
      </w:tr>
      <w:tr>
        <w:trPr>
          <w:trHeight w:val="223"/>
        </w:trPr>
        <w:tc>
          <w:tcPr>
            <w:tcW w:w="8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Consideration received</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5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w:t>
            </w:r>
          </w:p>
        </w:tc>
      </w:tr>
      <w:tr>
        <w:trPr>
          <w:trHeight w:val="223"/>
        </w:trPr>
        <w:tc>
          <w:tcPr>
            <w:tcW w:w="8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85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Unwind of discount</w:t>
            </w:r>
          </w:p>
        </w:tc>
        <w:tc>
          <w:tcPr>
            <w:tcW w:w="13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711</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969</w:t>
            </w:r>
          </w:p>
        </w:tc>
      </w:tr>
      <w:tr>
        <w:trPr>
          <w:trHeight w:val="223"/>
        </w:trPr>
        <w:tc>
          <w:tcPr>
            <w:tcW w:w="8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14,536</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23,157</w:t>
            </w:r>
          </w:p>
        </w:tc>
      </w:tr>
      <w:tr>
        <w:trPr>
          <w:trHeight w:val="223"/>
        </w:trPr>
        <w:tc>
          <w:tcPr>
            <w:tcW w:w="85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3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11,248</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10,995</w:t>
            </w:r>
          </w:p>
        </w:tc>
      </w:tr>
      <w:tr>
        <w:trPr>
          <w:trHeight w:val="223"/>
        </w:trPr>
        <w:tc>
          <w:tcPr>
            <w:tcW w:w="8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Non-current</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3,288</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12,162</w:t>
            </w:r>
          </w:p>
        </w:tc>
      </w:tr>
      <w:tr>
        <w:trPr>
          <w:trHeight w:val="223"/>
        </w:trPr>
        <w:tc>
          <w:tcPr>
            <w:tcW w:w="85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contract liabilities</w:t>
            </w:r>
          </w:p>
        </w:tc>
        <w:tc>
          <w:tcPr>
            <w:tcW w:w="13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14,536</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23,157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Pharma strategic partnership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 2020, the Group entered into a strategic commercial partnership with Grand Pharmaceutical Group Limited (Grand Pharma or GP,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formerly known as China Grand Pharma or CGP) for the Group’s portfolio of targeted radiation products. A non-refundable upfront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US$25,000,000 was received upon signing of the contract with GP. The strategic partnership with GP is accounted for as a revenue contract comprising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of a sublicense of the Group’s existing intellectual property and the provision of research and development services. The Group has measured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liability to undertake the identified future performance obligations relating to research and development services using a cost plus margin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approach. As the performance obligation relating to research and development services is expected to be completed over several years from execution,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component has been recognized within Finance costs in profit or loss on an effective interest basis.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Walloon Region non-reimbursable grant</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August 29, 2022, Telix Innovations SA received a non-reimbursable government grant to support research efforts associated with 211At-TLX591/TLX592. The first installment received was for €365,000, this amount will be released to the Consolidated statement of comprehensive income or loss as the associated expenditure is incurred.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6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25.  Lease liabilities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consolidated statement of financial position shows the following amounts relating to leases: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6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40" w:type="dxa"/>
            <w:vAlign w:val="bottom"/>
            <w:tcBorders>
              <w:bottom w:val="single" w:sz="8" w:color="auto"/>
              <w:right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7,134</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Additions</w:t>
            </w:r>
          </w:p>
        </w:tc>
        <w:tc>
          <w:tcPr>
            <w:tcW w:w="9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3,436</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businesses</w:t>
            </w: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40" w:type="dxa"/>
            <w:vAlign w:val="bottom"/>
            <w:tcBorders>
              <w:bottom w:val="single" w:sz="8" w:color="auto"/>
              <w:right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payments (principal and interest)</w:t>
            </w: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40" w:type="dxa"/>
            <w:vAlign w:val="bottom"/>
            <w:tcBorders>
              <w:bottom w:val="single" w:sz="8" w:color="auto"/>
              <w:right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9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10,637</w:t>
            </w:r>
          </w:p>
        </w:tc>
        <w:tc>
          <w:tcPr>
            <w:tcW w:w="40" w:type="dxa"/>
            <w:vAlign w:val="bottom"/>
            <w:tcBorders>
              <w:bottom w:val="single" w:sz="8" w:color="auto"/>
              <w:right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8,272</w:t>
            </w:r>
          </w:p>
        </w:tc>
        <w:tc>
          <w:tcPr>
            <w:tcW w:w="0" w:type="dxa"/>
            <w:vAlign w:val="bottom"/>
          </w:tcPr>
          <w:p>
            <w:pPr>
              <w:spacing w:after="0"/>
              <w:rPr>
                <w:sz w:val="1"/>
                <w:szCs w:val="1"/>
                <w:color w:val="auto"/>
              </w:rPr>
            </w:pPr>
          </w:p>
        </w:tc>
      </w:tr>
      <w:tr>
        <w:trPr>
          <w:trHeight w:val="216"/>
        </w:trPr>
        <w:tc>
          <w:tcPr>
            <w:tcW w:w="76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960" w:type="dxa"/>
            <w:vAlign w:val="bottom"/>
          </w:tcPr>
          <w:p>
            <w:pPr>
              <w:spacing w:after="0"/>
              <w:rPr>
                <w:sz w:val="18"/>
                <w:szCs w:val="18"/>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132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7620" w:type="dxa"/>
            <w:vAlign w:val="bottom"/>
            <w:gridSpan w:val="4"/>
            <w:vMerge w:val="continue"/>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6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Non-current</w:t>
            </w:r>
          </w:p>
        </w:tc>
        <w:tc>
          <w:tcPr>
            <w:tcW w:w="9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7,677</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10,637</w:t>
            </w: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8,272</w:t>
            </w:r>
          </w:p>
        </w:tc>
        <w:tc>
          <w:tcPr>
            <w:tcW w:w="0" w:type="dxa"/>
            <w:vAlign w:val="bottom"/>
          </w:tcPr>
          <w:p>
            <w:pPr>
              <w:spacing w:after="0"/>
              <w:rPr>
                <w:sz w:val="1"/>
                <w:szCs w:val="1"/>
                <w:color w:val="auto"/>
              </w:rPr>
            </w:pPr>
          </w:p>
        </w:tc>
      </w:tr>
      <w:tr>
        <w:trPr>
          <w:trHeight w:val="432"/>
        </w:trPr>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consolidated statement of comprehensive income shows the following amounts relating to leases: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expense relating to leases</w:t>
            </w:r>
          </w:p>
        </w:tc>
        <w:tc>
          <w:tcPr>
            <w:tcW w:w="40" w:type="dxa"/>
            <w:vAlign w:val="bottom"/>
          </w:tcPr>
          <w:p>
            <w:pPr>
              <w:spacing w:after="0"/>
              <w:rPr>
                <w:sz w:val="18"/>
                <w:szCs w:val="18"/>
                <w:color w:val="auto"/>
              </w:rPr>
            </w:pPr>
          </w:p>
        </w:tc>
        <w:tc>
          <w:tcPr>
            <w:tcW w:w="380" w:type="dxa"/>
            <w:vAlign w:val="bottom"/>
            <w:vMerge w:val="restart"/>
          </w:tcPr>
          <w:p>
            <w:pPr>
              <w:spacing w:after="0"/>
              <w:rPr>
                <w:sz w:val="18"/>
                <w:szCs w:val="18"/>
                <w:color w:val="auto"/>
              </w:rPr>
            </w:pPr>
          </w:p>
        </w:tc>
        <w:tc>
          <w:tcPr>
            <w:tcW w:w="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7200" w:type="dxa"/>
            <w:vAlign w:val="bottom"/>
            <w:gridSpan w:val="2"/>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6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right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Properties</w:t>
            </w:r>
          </w:p>
        </w:tc>
        <w:tc>
          <w:tcPr>
            <w:tcW w:w="40" w:type="dxa"/>
            <w:vAlign w:val="bottom"/>
            <w:tcBorders>
              <w:bottom w:val="single" w:sz="8" w:color="auto"/>
            </w:tcBorders>
            <w:shd w:val="clear" w:color="auto" w:fill="000000"/>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649</w:t>
            </w: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40" w:type="dxa"/>
            <w:vAlign w:val="bottom"/>
            <w:tcBorders>
              <w:bottom w:val="single" w:sz="8" w:color="auto"/>
              <w:right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40" w:type="dxa"/>
            <w:vAlign w:val="bottom"/>
            <w:tcBorders>
              <w:bottom w:val="single" w:sz="8" w:color="auto"/>
            </w:tcBorders>
            <w:shd w:val="clear" w:color="auto" w:fill="000000"/>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interest</w:t>
            </w:r>
          </w:p>
        </w:tc>
        <w:tc>
          <w:tcPr>
            <w:tcW w:w="40" w:type="dxa"/>
            <w:vAlign w:val="bottom"/>
            <w:tcBorders>
              <w:bottom w:val="single" w:sz="8" w:color="auto"/>
            </w:tcBorders>
            <w:shd w:val="clear" w:color="auto" w:fill="000000"/>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745</w:t>
            </w: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w:t>
            </w:r>
          </w:p>
        </w:tc>
        <w:tc>
          <w:tcPr>
            <w:tcW w:w="40" w:type="dxa"/>
            <w:vAlign w:val="bottom"/>
            <w:tcBorders>
              <w:bottom w:val="single" w:sz="8" w:color="auto"/>
              <w:right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cash outflow for leases in 2024 comprises $2,015,000 (2023: $2,222,000, 2022: $1,264,000) principal and $745,000 (2023: $636,000,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$277,000) interest payments.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0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26.  Provisions</w:t>
            </w: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Government</w:t>
            </w:r>
          </w:p>
        </w:tc>
        <w:tc>
          <w:tcPr>
            <w:tcW w:w="4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Decommissioning</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6000" w:type="dxa"/>
            <w:vAlign w:val="bottom"/>
            <w:tcBorders>
              <w:right w:val="single" w:sz="8" w:color="auto"/>
            </w:tcBorders>
          </w:tcPr>
          <w:p>
            <w:pPr>
              <w:spacing w:after="0"/>
              <w:rPr>
                <w:sz w:val="16"/>
                <w:szCs w:val="16"/>
                <w:color w:val="auto"/>
              </w:rPr>
            </w:pPr>
          </w:p>
        </w:tc>
        <w:tc>
          <w:tcPr>
            <w:tcW w:w="1300" w:type="dxa"/>
            <w:vAlign w:val="bottom"/>
            <w:vMerge w:val="continue"/>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1520" w:type="dxa"/>
            <w:vAlign w:val="bottom"/>
            <w:vMerge w:val="continue"/>
          </w:tcPr>
          <w:p>
            <w:pPr>
              <w:spacing w:after="0"/>
              <w:rPr>
                <w:sz w:val="16"/>
                <w:szCs w:val="16"/>
                <w:color w:val="auto"/>
              </w:rPr>
            </w:pPr>
          </w:p>
        </w:tc>
        <w:tc>
          <w:tcPr>
            <w:tcW w:w="136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6000" w:type="dxa"/>
            <w:vAlign w:val="bottom"/>
            <w:tcBorders>
              <w:right w:val="single" w:sz="8" w:color="auto"/>
            </w:tcBorders>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grant</w:t>
            </w:r>
          </w:p>
        </w:tc>
        <w:tc>
          <w:tcPr>
            <w:tcW w:w="40" w:type="dxa"/>
            <w:vAlign w:val="bottom"/>
            <w:shd w:val="clear" w:color="auto" w:fill="000000"/>
          </w:tcPr>
          <w:p>
            <w:pPr>
              <w:spacing w:after="0"/>
              <w:rPr>
                <w:sz w:val="9"/>
                <w:szCs w:val="9"/>
                <w:color w:val="auto"/>
              </w:rPr>
            </w:pPr>
          </w:p>
        </w:tc>
        <w:tc>
          <w:tcPr>
            <w:tcW w:w="1520" w:type="dxa"/>
            <w:vAlign w:val="bottom"/>
            <w:vMerge w:val="continue"/>
          </w:tcPr>
          <w:p>
            <w:pPr>
              <w:spacing w:after="0"/>
              <w:rPr>
                <w:sz w:val="9"/>
                <w:szCs w:val="9"/>
                <w:color w:val="auto"/>
              </w:rPr>
            </w:pPr>
          </w:p>
        </w:tc>
        <w:tc>
          <w:tcPr>
            <w:tcW w:w="1360" w:type="dxa"/>
            <w:vAlign w:val="bottom"/>
            <w:tcBorders>
              <w:lef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6000" w:type="dxa"/>
            <w:vAlign w:val="bottom"/>
            <w:tcBorders>
              <w:right w:val="single" w:sz="8" w:color="auto"/>
            </w:tcBorders>
          </w:tcPr>
          <w:p>
            <w:pPr>
              <w:spacing w:after="0"/>
              <w:rPr>
                <w:sz w:val="9"/>
                <w:szCs w:val="9"/>
                <w:color w:val="auto"/>
              </w:rPr>
            </w:pPr>
          </w:p>
        </w:tc>
        <w:tc>
          <w:tcPr>
            <w:tcW w:w="1300" w:type="dxa"/>
            <w:vAlign w:val="bottom"/>
            <w:vMerge w:val="continue"/>
          </w:tcPr>
          <w:p>
            <w:pPr>
              <w:spacing w:after="0"/>
              <w:rPr>
                <w:sz w:val="9"/>
                <w:szCs w:val="9"/>
                <w:color w:val="auto"/>
              </w:rPr>
            </w:pPr>
          </w:p>
        </w:tc>
        <w:tc>
          <w:tcPr>
            <w:tcW w:w="40" w:type="dxa"/>
            <w:vAlign w:val="bottom"/>
            <w:shd w:val="clear" w:color="auto" w:fill="000000"/>
          </w:tcPr>
          <w:p>
            <w:pPr>
              <w:spacing w:after="0"/>
              <w:rPr>
                <w:sz w:val="9"/>
                <w:szCs w:val="9"/>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360" w:type="dxa"/>
            <w:vAlign w:val="bottom"/>
            <w:tcBorders>
              <w:lef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020" w:type="dxa"/>
            <w:vAlign w:val="bottom"/>
          </w:tcPr>
          <w:p>
            <w:pPr>
              <w:spacing w:after="0"/>
              <w:rPr>
                <w:sz w:val="11"/>
                <w:szCs w:val="11"/>
                <w:color w:val="auto"/>
              </w:rPr>
            </w:pPr>
          </w:p>
        </w:tc>
        <w:tc>
          <w:tcPr>
            <w:tcW w:w="6000" w:type="dxa"/>
            <w:vAlign w:val="bottom"/>
            <w:tcBorders>
              <w:right w:val="single" w:sz="8" w:color="auto"/>
            </w:tcBorders>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40" w:type="dxa"/>
            <w:vAlign w:val="bottom"/>
            <w:shd w:val="clear" w:color="auto" w:fill="000000"/>
          </w:tcPr>
          <w:p>
            <w:pPr>
              <w:spacing w:after="0"/>
              <w:rPr>
                <w:sz w:val="11"/>
                <w:szCs w:val="11"/>
                <w:color w:val="auto"/>
              </w:rPr>
            </w:pPr>
          </w:p>
        </w:tc>
        <w:tc>
          <w:tcPr>
            <w:tcW w:w="1520" w:type="dxa"/>
            <w:vAlign w:val="bottom"/>
            <w:vMerge w:val="continue"/>
          </w:tcPr>
          <w:p>
            <w:pPr>
              <w:spacing w:after="0"/>
              <w:rPr>
                <w:sz w:val="11"/>
                <w:szCs w:val="11"/>
                <w:color w:val="auto"/>
              </w:rPr>
            </w:pPr>
          </w:p>
        </w:tc>
        <w:tc>
          <w:tcPr>
            <w:tcW w:w="1360" w:type="dxa"/>
            <w:vAlign w:val="bottom"/>
            <w:tcBorders>
              <w:lef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6000" w:type="dxa"/>
            <w:vAlign w:val="bottom"/>
            <w:tcBorders>
              <w:right w:val="single" w:sz="8" w:color="auto"/>
            </w:tcBorders>
          </w:tcPr>
          <w:p>
            <w:pPr>
              <w:spacing w:after="0"/>
              <w:rPr>
                <w:sz w:val="10"/>
                <w:szCs w:val="10"/>
                <w:color w:val="auto"/>
              </w:rPr>
            </w:pPr>
          </w:p>
        </w:tc>
        <w:tc>
          <w:tcPr>
            <w:tcW w:w="1300" w:type="dxa"/>
            <w:vAlign w:val="bottom"/>
            <w:tcBorders>
              <w:bottom w:val="single" w:sz="8" w:color="auto"/>
            </w:tcBorders>
            <w:vMerge w:val="continue"/>
          </w:tcPr>
          <w:p>
            <w:pPr>
              <w:spacing w:after="0"/>
              <w:rPr>
                <w:sz w:val="10"/>
                <w:szCs w:val="10"/>
                <w:color w:val="auto"/>
              </w:rPr>
            </w:pPr>
          </w:p>
        </w:tc>
        <w:tc>
          <w:tcPr>
            <w:tcW w:w="40" w:type="dxa"/>
            <w:vAlign w:val="bottom"/>
            <w:tcBorders>
              <w:bottom w:val="single" w:sz="8" w:color="auto"/>
            </w:tcBorders>
            <w:shd w:val="clear" w:color="auto" w:fill="000000"/>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360" w:type="dxa"/>
            <w:vAlign w:val="bottom"/>
            <w:tcBorders>
              <w:left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600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60" w:type="dxa"/>
            <w:vAlign w:val="bottom"/>
            <w:tcBorders>
              <w:left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2,664</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5,917</w:t>
            </w:r>
          </w:p>
        </w:tc>
        <w:tc>
          <w:tcPr>
            <w:tcW w:w="1360" w:type="dxa"/>
            <w:vAlign w:val="bottom"/>
            <w:tcBorders>
              <w:left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8,581</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Remeasurement of provisions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left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Unwind of discount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360" w:type="dxa"/>
            <w:vAlign w:val="bottom"/>
            <w:tcBorders>
              <w:left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Charged to profit or loss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929</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360" w:type="dxa"/>
            <w:vAlign w:val="bottom"/>
            <w:tcBorders>
              <w:left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1,113</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360" w:type="dxa"/>
            <w:vAlign w:val="bottom"/>
            <w:tcBorders>
              <w:left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Amounts adjusted to property, plant and equipment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360" w:type="dxa"/>
            <w:vAlign w:val="bottom"/>
            <w:tcBorders>
              <w:left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5,408</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utilized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left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11,702</w:t>
            </w:r>
          </w:p>
        </w:tc>
        <w:tc>
          <w:tcPr>
            <w:tcW w:w="1360" w:type="dxa"/>
            <w:vAlign w:val="bottom"/>
            <w:tcBorders>
              <w:left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14,702</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left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Non-current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1360" w:type="dxa"/>
            <w:vAlign w:val="bottom"/>
            <w:tcBorders>
              <w:left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13,772</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provisions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11,702</w:t>
            </w:r>
          </w:p>
        </w:tc>
        <w:tc>
          <w:tcPr>
            <w:tcW w:w="1360" w:type="dxa"/>
            <w:vAlign w:val="bottom"/>
            <w:tcBorders>
              <w:left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14,702</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600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360" w:type="dxa"/>
            <w:vAlign w:val="bottom"/>
            <w:tcBorders>
              <w:left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2,551</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5,333</w:t>
            </w:r>
          </w:p>
        </w:tc>
        <w:tc>
          <w:tcPr>
            <w:tcW w:w="1360" w:type="dxa"/>
            <w:vAlign w:val="bottom"/>
            <w:tcBorders>
              <w:left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7,884</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Remeasurement of provisions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Unwind of discount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360" w:type="dxa"/>
            <w:vAlign w:val="bottom"/>
            <w:tcBorders>
              <w:left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Charged to profit or loss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1360" w:type="dxa"/>
            <w:vAlign w:val="bottom"/>
            <w:tcBorders>
              <w:left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246</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360" w:type="dxa"/>
            <w:vAlign w:val="bottom"/>
            <w:tcBorders>
              <w:left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Amounts adjusted to intangible assets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360" w:type="dxa"/>
            <w:vAlign w:val="bottom"/>
            <w:tcBorders>
              <w:left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utilized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360" w:type="dxa"/>
            <w:vAlign w:val="bottom"/>
            <w:tcBorders>
              <w:left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2,664</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5,917</w:t>
            </w:r>
          </w:p>
        </w:tc>
        <w:tc>
          <w:tcPr>
            <w:tcW w:w="1360" w:type="dxa"/>
            <w:vAlign w:val="bottom"/>
            <w:tcBorders>
              <w:left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8,581</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left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Non-current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360" w:type="dxa"/>
            <w:vAlign w:val="bottom"/>
            <w:tcBorders>
              <w:left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8,004</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provisions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2,664</w:t>
            </w:r>
          </w:p>
        </w:tc>
        <w:tc>
          <w:tcPr>
            <w:tcW w:w="4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5,917</w:t>
            </w:r>
          </w:p>
        </w:tc>
        <w:tc>
          <w:tcPr>
            <w:tcW w:w="1360" w:type="dxa"/>
            <w:vAlign w:val="bottom"/>
            <w:tcBorders>
              <w:left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8,581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26.1.Government grant liability</w:t>
      </w:r>
    </w:p>
    <w:p>
      <w:pPr>
        <w:spacing w:after="0" w:line="22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 xml:space="preserve">Telix Innovations has received grants from the Walloon regional government in Belgium. These grants meet the definition of a financial liability as defined in IFRS 9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and were designated to be measured at fair value through profit and loss.</w:t>
      </w:r>
    </w:p>
    <w:p>
      <w:pPr>
        <w:spacing w:after="0" w:line="16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grants are repayable to the Walloon government based on a split between fixed and variable repayments. The fixed proportion is based on contractual cash flows agreed with the Walloon government. The variable cash flows are based on a fixed percentage of future sales and are capped at an agreed upon level.</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Group has estimated that the full variable repayments will be made up to the pre-agreed capped amount. The key inputs into this calculation are the risk adjusted discount rate of 3.3% (2023: 3.4%), the expected sales volumes and the net sales price per unit. The expected sales volumes and net sales price per unit assumptions are consistent with those utilized by the Group in the calculation of the contingent consideration liability and intellectual property valuation.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26.2.Decommissioning liability</w:t>
      </w:r>
    </w:p>
    <w:p>
      <w:pPr>
        <w:spacing w:after="0" w:line="225"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Telix owns and operates a radiopharmaceutical production facility in Belgium. The site has cyclotrons installed in concrete shielded vaults which also contain some nuclear contamination associated with past manufacturing activities. Telix has an obligation to remove the cyclotrons and restore the site.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2024, new cyclotrons were installed in the facility, which will be decommissioned at the end of the operating life of the facility. A provision for dismantling and removal of 5,408,000 has been recognized with respect to these cyclotrons, in addition to existing remediation costs to remove nuclear contamination in the vaults.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decommissioning costs expected to be incurred in 2041 of €12,451,000 (2023: €6,021,000) have been discounted using the Belgium risk-free 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3.3% (2023: 3.4%) and translated to Australian dollars at the exchange rate at December 31, 2024.</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provision represents the best estimate of the expenditures required to settle the present obligation at December 31, 2024. While the Group has made its best estimate in establishing its decommissioning liability, because of potential changes in technology as well as safety and environmental requirements, plus the actual timescale to complete decommissioning, the ultimate provision requirements could vary from the Group’s current estimates. Any subsequent changes in estimate which alter the level of the provision required are also reflected in adjustments to the intangible license asset. Each year, the provision is increased to reflect the unwind of discount and to accrue an estimate for the effects of inflation, with the charges being presented in the consolidated statement of comprehensive income or loss. Actual payments for commencement of decommissioning activity are disclosed as provision utilized in the above table.</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27.  Contingent consideration</w:t>
            </w: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1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ANMI</w:t>
            </w:r>
          </w:p>
        </w:tc>
        <w:tc>
          <w:tcPr>
            <w:tcW w:w="40" w:type="dxa"/>
            <w:vAlign w:val="bottom"/>
          </w:tcPr>
          <w:p>
            <w:pPr>
              <w:spacing w:after="0"/>
              <w:rPr>
                <w:sz w:val="24"/>
                <w:szCs w:val="24"/>
                <w:color w:val="auto"/>
              </w:rPr>
            </w:pPr>
          </w:p>
        </w:tc>
        <w:tc>
          <w:tcPr>
            <w:tcW w:w="13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TheraPharm</w:t>
            </w:r>
          </w:p>
        </w:tc>
        <w:tc>
          <w:tcPr>
            <w:tcW w:w="20" w:type="dxa"/>
            <w:vAlign w:val="bottom"/>
          </w:tcPr>
          <w:p>
            <w:pPr>
              <w:spacing w:after="0"/>
              <w:rPr>
                <w:sz w:val="24"/>
                <w:szCs w:val="2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OptimalTracers</w:t>
            </w:r>
          </w:p>
        </w:tc>
        <w:tc>
          <w:tcPr>
            <w:tcW w:w="4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IsoTherapeutics</w:t>
            </w:r>
          </w:p>
        </w:tc>
        <w:tc>
          <w:tcPr>
            <w:tcW w:w="4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ARTMS</w:t>
            </w:r>
          </w:p>
        </w:tc>
        <w:tc>
          <w:tcPr>
            <w:tcW w:w="40" w:type="dxa"/>
            <w:vAlign w:val="bottom"/>
          </w:tcPr>
          <w:p>
            <w:pPr>
              <w:spacing w:after="0"/>
              <w:rPr>
                <w:sz w:val="24"/>
                <w:szCs w:val="24"/>
                <w:color w:val="auto"/>
              </w:rPr>
            </w:pPr>
          </w:p>
        </w:tc>
        <w:tc>
          <w:tcPr>
            <w:tcW w:w="1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160" w:type="dxa"/>
            <w:vAlign w:val="bottom"/>
            <w:tcBorders>
              <w:right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right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90,493</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2,178</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92,754</w:t>
            </w:r>
          </w:p>
        </w:tc>
        <w:tc>
          <w:tcPr>
            <w:tcW w:w="0" w:type="dxa"/>
            <w:vAlign w:val="bottom"/>
          </w:tcPr>
          <w:p>
            <w:pPr>
              <w:spacing w:after="0"/>
              <w:rPr>
                <w:sz w:val="1"/>
                <w:szCs w:val="1"/>
                <w:color w:val="auto"/>
              </w:rPr>
            </w:pPr>
          </w:p>
        </w:tc>
      </w:tr>
      <w:tr>
        <w:trPr>
          <w:trHeight w:val="198"/>
        </w:trPr>
        <w:tc>
          <w:tcPr>
            <w:tcW w:w="316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Remeasurement of contingent</w:t>
            </w:r>
          </w:p>
        </w:tc>
        <w:tc>
          <w:tcPr>
            <w:tcW w:w="134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consideration</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11,062</w:t>
            </w:r>
          </w:p>
        </w:tc>
        <w:tc>
          <w:tcPr>
            <w:tcW w:w="40" w:type="dxa"/>
            <w:vAlign w:val="bottom"/>
            <w:tcBorders>
              <w:bottom w:val="single" w:sz="8" w:color="auto"/>
            </w:tcBorders>
            <w:shd w:val="clear" w:color="auto" w:fill="000000"/>
          </w:tcPr>
          <w:p>
            <w:pPr>
              <w:spacing w:after="0"/>
              <w:rPr>
                <w:sz w:val="20"/>
                <w:szCs w:val="20"/>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11,062</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Unwind of discount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12,005</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14,378</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Charged to profit or loss</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23,067</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295</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2,078</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25,440</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3,895</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6,079</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Acquisition of businesses</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22,492</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30,154</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adjusted to intangible assets</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1,579</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Payments for contingent consideration</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(39,657)</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(39,690)</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77,798</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4,317</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26,089</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116,316</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77,798</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85,910</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4,317</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26,089</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30,406</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contingent consideration</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77,798</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4,317</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8,072</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26,089</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116,316</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62,541</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1,690</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718</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64,949</w:t>
            </w:r>
          </w:p>
        </w:tc>
        <w:tc>
          <w:tcPr>
            <w:tcW w:w="0" w:type="dxa"/>
            <w:vAlign w:val="bottom"/>
          </w:tcPr>
          <w:p>
            <w:pPr>
              <w:spacing w:after="0"/>
              <w:rPr>
                <w:sz w:val="1"/>
                <w:szCs w:val="1"/>
                <w:color w:val="auto"/>
              </w:rPr>
            </w:pPr>
          </w:p>
        </w:tc>
      </w:tr>
      <w:tr>
        <w:trPr>
          <w:trHeight w:val="198"/>
        </w:trPr>
        <w:tc>
          <w:tcPr>
            <w:tcW w:w="316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Remeasurement of contingent</w:t>
            </w:r>
          </w:p>
        </w:tc>
        <w:tc>
          <w:tcPr>
            <w:tcW w:w="1340" w:type="dxa"/>
            <w:vAlign w:val="bottom"/>
            <w:shd w:val="clear" w:color="auto" w:fill="CCEEFF"/>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6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34,275</w:t>
            </w:r>
          </w:p>
        </w:tc>
        <w:tc>
          <w:tcPr>
            <w:tcW w:w="40" w:type="dxa"/>
            <w:vAlign w:val="bottom"/>
            <w:tcBorders>
              <w:bottom w:val="single" w:sz="8" w:color="auto"/>
            </w:tcBorders>
            <w:shd w:val="clear" w:color="auto" w:fill="000000"/>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0"/>
                <w:szCs w:val="20"/>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34,275</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Unwind of discount</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11,033</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11,394</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Charged to profit or loss</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45,308</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278</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45,669</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adjusted to intangible assets</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489</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Payments for contingent consideration</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90,493</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2,178</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92,754</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37,070</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37,153</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53,423</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2,178</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55,601</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contingent consideration</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90,493</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2,178</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92,754</w:t>
            </w:r>
          </w:p>
        </w:tc>
        <w:tc>
          <w:tcPr>
            <w:tcW w:w="0" w:type="dxa"/>
            <w:vAlign w:val="bottom"/>
          </w:tcPr>
          <w:p>
            <w:pPr>
              <w:spacing w:after="0"/>
              <w:rPr>
                <w:sz w:val="1"/>
                <w:szCs w:val="1"/>
                <w:color w:val="auto"/>
              </w:rPr>
            </w:pPr>
          </w:p>
        </w:tc>
      </w:tr>
      <w:tr>
        <w:trPr>
          <w:trHeight w:val="570"/>
        </w:trPr>
        <w:tc>
          <w:tcPr>
            <w:tcW w:w="3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F-53</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27.1 Telix Innovations (formerly ANMI)</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Group acquired ANMI on December 24, 2018. The Group is liable for future variable payments which are calculated based on the percentage of net sales for five years following the achievement of marketing authorization of the product.</w:t>
      </w:r>
    </w:p>
    <w:p>
      <w:pPr>
        <w:spacing w:after="0" w:line="16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percentage of net sales varies depending on the net sales achieved in the United States and the rest of the world. The Group also holds an option to buy-out the remaining future variable payments in the third year following the achievement of marketing authorization, if specified sales thresholds are met.</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at consolidated statement of financial position date, the Group has remeasured the contingent consideration to its fair value. The remeasurement is as a result of changes to the key assumptions such as risk adjusted post-tax discount rate, expected sales volumes and net sales price per unit.</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contingent consideration liability has been valued using a discounted cash flow model that utilizes certain unobservable level 3 inputs. These key assumptions include expected sales volumes over the forecast period and net sales price per unit.</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quantitative information about these assumptions, including the impact of sensitivities from reasonably possible changes where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 valuation</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45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Methodology</w:t>
            </w:r>
          </w:p>
        </w:tc>
        <w:tc>
          <w:tcPr>
            <w:tcW w:w="44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8"/>
        </w:trPr>
        <w:tc>
          <w:tcPr>
            <w:tcW w:w="2280" w:type="dxa"/>
            <w:vAlign w:val="bottom"/>
            <w:tcBorders>
              <w:left w:val="single" w:sz="8" w:color="auto"/>
              <w:right w:val="single" w:sz="8" w:color="auto"/>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Expected sales volumes</w:t>
            </w:r>
          </w:p>
        </w:tc>
        <w:tc>
          <w:tcPr>
            <w:tcW w:w="4500" w:type="dxa"/>
            <w:vAlign w:val="bottom"/>
            <w:tcBorders>
              <w:right w:val="single" w:sz="8" w:color="auto"/>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This is determined using actual sales volumes for 2024 and</w:t>
            </w:r>
          </w:p>
        </w:tc>
        <w:tc>
          <w:tcPr>
            <w:tcW w:w="4460" w:type="dxa"/>
            <w:vAlign w:val="bottom"/>
            <w:tcBorders>
              <w:right w:val="single" w:sz="8" w:color="auto"/>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A 10% increase / decrease in sales volumes across all</w:t>
            </w:r>
          </w:p>
        </w:tc>
      </w:tr>
      <w:tr>
        <w:trPr>
          <w:trHeight w:val="216"/>
        </w:trPr>
        <w:tc>
          <w:tcPr>
            <w:tcW w:w="2280" w:type="dxa"/>
            <w:vAlign w:val="bottom"/>
            <w:tcBorders>
              <w:left w:val="single" w:sz="8" w:color="auto"/>
              <w:right w:val="single" w:sz="8" w:color="auto"/>
            </w:tcBorders>
            <w:shd w:val="clear" w:color="auto" w:fill="CCEEFF"/>
          </w:tcPr>
          <w:p>
            <w:pPr>
              <w:spacing w:after="0"/>
              <w:rPr>
                <w:sz w:val="18"/>
                <w:szCs w:val="18"/>
                <w:color w:val="auto"/>
              </w:rPr>
            </w:pPr>
          </w:p>
        </w:tc>
        <w:tc>
          <w:tcPr>
            <w:tcW w:w="450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forecasting sales volumes for 2025 and beyond for each</w:t>
            </w:r>
          </w:p>
        </w:tc>
        <w:tc>
          <w:tcPr>
            <w:tcW w:w="44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regions would increase / decrease the contingent</w:t>
            </w:r>
          </w:p>
        </w:tc>
      </w:tr>
      <w:tr>
        <w:trPr>
          <w:trHeight w:val="241"/>
        </w:trPr>
        <w:tc>
          <w:tcPr>
            <w:tcW w:w="228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45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region.</w:t>
            </w:r>
          </w:p>
        </w:tc>
        <w:tc>
          <w:tcPr>
            <w:tcW w:w="44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consideration by $1,815,000.</w:t>
            </w:r>
          </w:p>
        </w:tc>
      </w:tr>
      <w:tr>
        <w:trPr>
          <w:trHeight w:val="198"/>
        </w:trPr>
        <w:tc>
          <w:tcPr>
            <w:tcW w:w="228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Net sales price per unit</w:t>
            </w:r>
          </w:p>
        </w:tc>
        <w:tc>
          <w:tcPr>
            <w:tcW w:w="450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This is determined using actual sales prices for 2024 and</w:t>
            </w:r>
          </w:p>
        </w:tc>
        <w:tc>
          <w:tcPr>
            <w:tcW w:w="446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A 10% increase / decrease in net sales price per unit across</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forecasting sales prices for 2025 and beyond for each</w:t>
            </w:r>
          </w:p>
        </w:tc>
        <w:tc>
          <w:tcPr>
            <w:tcW w:w="4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all regions would increase / decrease the contingent</w:t>
            </w:r>
          </w:p>
        </w:tc>
      </w:tr>
      <w:tr>
        <w:trPr>
          <w:trHeight w:val="241"/>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region.</w:t>
            </w:r>
          </w:p>
        </w:tc>
        <w:tc>
          <w:tcPr>
            <w:tcW w:w="4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consideration by $1,815,000.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27.2 Telix Switzerland (formerly TheraPharm)</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Telix acquired TheraPharm on December 14, 2020. Part of the consideration for the acquisition was in the form of future payments contingent on certain milestones. These are:</w:t>
      </w:r>
    </w:p>
    <w:p>
      <w:pPr>
        <w:spacing w:after="0" w:line="162" w:lineRule="exact"/>
        <w:rPr>
          <w:sz w:val="20"/>
          <w:szCs w:val="20"/>
          <w:color w:val="auto"/>
        </w:rPr>
      </w:pPr>
    </w:p>
    <w:p>
      <w:pPr>
        <w:ind w:left="340" w:hanging="238"/>
        <w:spacing w:after="0"/>
        <w:tabs>
          <w:tab w:leader="none" w:pos="3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cash payment upon successful completion of a Phase 3 pivotal registration trial</w:t>
      </w:r>
    </w:p>
    <w:p>
      <w:pPr>
        <w:spacing w:after="0" w:line="27" w:lineRule="exact"/>
        <w:rPr>
          <w:rFonts w:ascii="Times New Roman" w:cs="Times New Roman" w:eastAsia="Times New Roman" w:hAnsi="Times New Roman"/>
          <w:sz w:val="18"/>
          <w:szCs w:val="18"/>
          <w:color w:val="auto"/>
        </w:rPr>
      </w:pPr>
    </w:p>
    <w:p>
      <w:pPr>
        <w:ind w:left="340" w:hanging="238"/>
        <w:spacing w:after="0"/>
        <w:tabs>
          <w:tab w:leader="none" w:pos="3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cash payment upon achievement of marketing authorization in Europe or the United States, whichever approval comes first, and</w:t>
      </w:r>
    </w:p>
    <w:p>
      <w:pPr>
        <w:spacing w:after="0" w:line="9" w:lineRule="exact"/>
        <w:rPr>
          <w:rFonts w:ascii="Times New Roman" w:cs="Times New Roman" w:eastAsia="Times New Roman" w:hAnsi="Times New Roman"/>
          <w:sz w:val="18"/>
          <w:szCs w:val="18"/>
          <w:color w:val="auto"/>
        </w:rPr>
      </w:pPr>
    </w:p>
    <w:p>
      <w:pPr>
        <w:ind w:left="340" w:hanging="238"/>
        <w:spacing w:after="0"/>
        <w:tabs>
          <w:tab w:leader="none" w:pos="3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of net sales for the first three years following marketing authorization in Europe or the United States, whichever approval comes first.</w:t>
      </w:r>
    </w:p>
    <w:p>
      <w:pPr>
        <w:spacing w:after="0" w:line="20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valuation of the contingent consideration has been performed utilizing a discounted cash flow model that uses certain unobservable assumptions. These key assumptions include risk adjusted post-tax discount rate of 12.5% (2023: 13.0%), marketing authorization date, expected sales volumes over the forecast period, net sales price per unit and approval for marketing authorization probability success factor.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quantitative information about these assumptions, including the impact of sensitivities from reasonably possible changes where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 valuation</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45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Methodology</w:t>
            </w:r>
          </w:p>
        </w:tc>
        <w:tc>
          <w:tcPr>
            <w:tcW w:w="44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8"/>
        </w:trPr>
        <w:tc>
          <w:tcPr>
            <w:tcW w:w="2280" w:type="dxa"/>
            <w:vAlign w:val="bottom"/>
            <w:tcBorders>
              <w:left w:val="single" w:sz="8" w:color="auto"/>
              <w:right w:val="single" w:sz="8" w:color="auto"/>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Risk adjusted post-tax</w:t>
            </w:r>
          </w:p>
        </w:tc>
        <w:tc>
          <w:tcPr>
            <w:tcW w:w="4500" w:type="dxa"/>
            <w:vAlign w:val="bottom"/>
            <w:tcBorders>
              <w:right w:val="single" w:sz="8" w:color="auto"/>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The post-tax discount rate used in the valuation has been</w:t>
            </w:r>
          </w:p>
        </w:tc>
        <w:tc>
          <w:tcPr>
            <w:tcW w:w="4460" w:type="dxa"/>
            <w:vAlign w:val="bottom"/>
            <w:tcBorders>
              <w:right w:val="single" w:sz="8" w:color="auto"/>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A 0.5% increase / decrease in the post-tax discount rate</w:t>
            </w:r>
          </w:p>
        </w:tc>
      </w:tr>
      <w:tr>
        <w:trPr>
          <w:trHeight w:val="216"/>
        </w:trPr>
        <w:tc>
          <w:tcPr>
            <w:tcW w:w="2280" w:type="dxa"/>
            <w:vAlign w:val="bottom"/>
            <w:tcBorders>
              <w:left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450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determined based on required rates of returns of listed</w:t>
            </w:r>
          </w:p>
        </w:tc>
        <w:tc>
          <w:tcPr>
            <w:tcW w:w="44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would decrease / increase the contingent consideration by</w:t>
            </w:r>
          </w:p>
        </w:tc>
      </w:tr>
      <w:tr>
        <w:trPr>
          <w:trHeight w:val="216"/>
        </w:trPr>
        <w:tc>
          <w:tcPr>
            <w:tcW w:w="2280" w:type="dxa"/>
            <w:vAlign w:val="bottom"/>
            <w:tcBorders>
              <w:left w:val="single" w:sz="8" w:color="auto"/>
              <w:right w:val="single" w:sz="8" w:color="auto"/>
            </w:tcBorders>
            <w:shd w:val="clear" w:color="auto" w:fill="CCEEFF"/>
          </w:tcPr>
          <w:p>
            <w:pPr>
              <w:spacing w:after="0"/>
              <w:rPr>
                <w:sz w:val="18"/>
                <w:szCs w:val="18"/>
                <w:color w:val="auto"/>
              </w:rPr>
            </w:pPr>
          </w:p>
        </w:tc>
        <w:tc>
          <w:tcPr>
            <w:tcW w:w="450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companies in the biotechnology industry (having regards to</w:t>
            </w:r>
          </w:p>
        </w:tc>
        <w:tc>
          <w:tcPr>
            <w:tcW w:w="44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$79,000.</w:t>
            </w:r>
          </w:p>
        </w:tc>
      </w:tr>
      <w:tr>
        <w:trPr>
          <w:trHeight w:val="241"/>
        </w:trPr>
        <w:tc>
          <w:tcPr>
            <w:tcW w:w="228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45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their stage of development, size and risk adjustments).</w:t>
            </w:r>
          </w:p>
        </w:tc>
        <w:tc>
          <w:tcPr>
            <w:tcW w:w="4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8"/>
        </w:trPr>
        <w:tc>
          <w:tcPr>
            <w:tcW w:w="228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Expected sales volumes</w:t>
            </w:r>
          </w:p>
        </w:tc>
        <w:tc>
          <w:tcPr>
            <w:tcW w:w="450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This is determined through assumptions on target market</w:t>
            </w:r>
          </w:p>
        </w:tc>
        <w:tc>
          <w:tcPr>
            <w:tcW w:w="446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A 10% increase / decrease in the sales volumes would</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population, penetration and growth rates in the United</w:t>
            </w:r>
          </w:p>
        </w:tc>
        <w:tc>
          <w:tcPr>
            <w:tcW w:w="4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increase / decrease the contingent consideration by</w:t>
            </w:r>
          </w:p>
        </w:tc>
      </w:tr>
      <w:tr>
        <w:trPr>
          <w:trHeight w:val="241"/>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States and Europe.</w:t>
            </w:r>
          </w:p>
        </w:tc>
        <w:tc>
          <w:tcPr>
            <w:tcW w:w="4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$109,000.</w:t>
            </w:r>
          </w:p>
        </w:tc>
      </w:tr>
      <w:tr>
        <w:trPr>
          <w:trHeight w:val="198"/>
        </w:trPr>
        <w:tc>
          <w:tcPr>
            <w:tcW w:w="2280" w:type="dxa"/>
            <w:vAlign w:val="bottom"/>
            <w:tcBorders>
              <w:left w:val="single" w:sz="8" w:color="auto"/>
              <w:right w:val="single" w:sz="8" w:color="auto"/>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Net sales price per unit</w:t>
            </w:r>
          </w:p>
        </w:tc>
        <w:tc>
          <w:tcPr>
            <w:tcW w:w="4500" w:type="dxa"/>
            <w:vAlign w:val="bottom"/>
            <w:tcBorders>
              <w:right w:val="single" w:sz="8" w:color="auto"/>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The net sales price per unit is estimated based on</w:t>
            </w:r>
          </w:p>
        </w:tc>
        <w:tc>
          <w:tcPr>
            <w:tcW w:w="4460" w:type="dxa"/>
            <w:vAlign w:val="bottom"/>
            <w:tcBorders>
              <w:right w:val="single" w:sz="8" w:color="auto"/>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A 10% increase / decrease in the net sales price per unit</w:t>
            </w:r>
          </w:p>
        </w:tc>
      </w:tr>
      <w:tr>
        <w:trPr>
          <w:trHeight w:val="216"/>
        </w:trPr>
        <w:tc>
          <w:tcPr>
            <w:tcW w:w="2280" w:type="dxa"/>
            <w:vAlign w:val="bottom"/>
            <w:tcBorders>
              <w:left w:val="single" w:sz="8" w:color="auto"/>
              <w:right w:val="single" w:sz="8" w:color="auto"/>
            </w:tcBorders>
            <w:shd w:val="clear" w:color="auto" w:fill="CCEEFF"/>
          </w:tcPr>
          <w:p>
            <w:pPr>
              <w:spacing w:after="0"/>
              <w:rPr>
                <w:sz w:val="18"/>
                <w:szCs w:val="18"/>
                <w:color w:val="auto"/>
              </w:rPr>
            </w:pPr>
          </w:p>
        </w:tc>
        <w:tc>
          <w:tcPr>
            <w:tcW w:w="450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comparable products currently in the market.</w:t>
            </w:r>
          </w:p>
        </w:tc>
        <w:tc>
          <w:tcPr>
            <w:tcW w:w="44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would increase / decrease the contingent consideration by</w:t>
            </w:r>
          </w:p>
        </w:tc>
      </w:tr>
      <w:tr>
        <w:trPr>
          <w:trHeight w:val="241"/>
        </w:trPr>
        <w:tc>
          <w:tcPr>
            <w:tcW w:w="228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4500" w:type="dxa"/>
            <w:vAlign w:val="bottom"/>
            <w:tcBorders>
              <w:bottom w:val="single" w:sz="8" w:color="auto"/>
              <w:right w:val="single" w:sz="8" w:color="auto"/>
            </w:tcBorders>
            <w:shd w:val="clear" w:color="auto" w:fill="CCEEFF"/>
          </w:tcPr>
          <w:p>
            <w:pPr>
              <w:spacing w:after="0"/>
              <w:rPr>
                <w:sz w:val="20"/>
                <w:szCs w:val="20"/>
                <w:color w:val="auto"/>
              </w:rPr>
            </w:pPr>
          </w:p>
        </w:tc>
        <w:tc>
          <w:tcPr>
            <w:tcW w:w="44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$112,000.</w:t>
            </w:r>
          </w:p>
        </w:tc>
      </w:tr>
      <w:tr>
        <w:trPr>
          <w:trHeight w:val="198"/>
        </w:trPr>
        <w:tc>
          <w:tcPr>
            <w:tcW w:w="228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Approval for marketing</w:t>
            </w:r>
          </w:p>
        </w:tc>
        <w:tc>
          <w:tcPr>
            <w:tcW w:w="450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This assumption is based on management’s estimate for</w:t>
            </w:r>
          </w:p>
        </w:tc>
        <w:tc>
          <w:tcPr>
            <w:tcW w:w="446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An increase / decrease in the probability of success factor</w:t>
            </w:r>
          </w:p>
        </w:tc>
      </w:tr>
      <w:tr>
        <w:trPr>
          <w:trHeight w:val="216"/>
        </w:trPr>
        <w:tc>
          <w:tcPr>
            <w:tcW w:w="2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authorization probability</w:t>
            </w:r>
          </w:p>
        </w:tc>
        <w:tc>
          <w:tcPr>
            <w:tcW w:w="4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achieving regulatory approval and is determined through</w:t>
            </w:r>
          </w:p>
        </w:tc>
        <w:tc>
          <w:tcPr>
            <w:tcW w:w="4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by 10% would increase / decrease the contingent</w:t>
            </w:r>
          </w:p>
        </w:tc>
      </w:tr>
      <w:tr>
        <w:trPr>
          <w:trHeight w:val="241"/>
        </w:trPr>
        <w:tc>
          <w:tcPr>
            <w:tcW w:w="22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success factor</w:t>
            </w:r>
          </w:p>
        </w:tc>
        <w:tc>
          <w:tcPr>
            <w:tcW w:w="45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benchmarking of historic approval rates.</w:t>
            </w:r>
          </w:p>
        </w:tc>
        <w:tc>
          <w:tcPr>
            <w:tcW w:w="4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consideration by $1,476,000.</w:t>
            </w:r>
          </w:p>
        </w:tc>
      </w:tr>
      <w:tr>
        <w:trPr>
          <w:trHeight w:val="432"/>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27.3 IsoTherapeutics</w:t>
            </w:r>
          </w:p>
        </w:tc>
        <w:tc>
          <w:tcPr>
            <w:tcW w:w="4500" w:type="dxa"/>
            <w:vAlign w:val="bottom"/>
          </w:tcPr>
          <w:p>
            <w:pPr>
              <w:spacing w:after="0"/>
              <w:rPr>
                <w:sz w:val="24"/>
                <w:szCs w:val="24"/>
                <w:color w:val="auto"/>
              </w:rPr>
            </w:pPr>
          </w:p>
        </w:tc>
        <w:tc>
          <w:tcPr>
            <w:tcW w:w="4460" w:type="dxa"/>
            <w:vAlign w:val="bottom"/>
          </w:tcPr>
          <w:p>
            <w:pPr>
              <w:spacing w:after="0"/>
              <w:rPr>
                <w:sz w:val="24"/>
                <w:szCs w:val="24"/>
                <w:color w:val="auto"/>
              </w:rPr>
            </w:pPr>
          </w:p>
        </w:tc>
      </w:tr>
    </w:tbl>
    <w:p>
      <w:pPr>
        <w:spacing w:after="0" w:line="19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Group acquired IsoTherapeutics on April 9, 2024. The Group is liable for $7,662,000 which is payable in cash for performance-related milestone payments that are subject to meeting milestone conditions within twelve months of closing. Subsequent to December 31, 2024, the milestone conditions were satisfied and the associated liability settled.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27.4 ARTMS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Telix acquired ARTMS on April 11, 2024. Part of the consideration for the acquisition included US$24.5 million (approximately AU$37.0 million) in contingent future earn-out payments which is payable in cash following achievement of certain clinical or commercial milestones. All earn-outs which have not otherwise expired will terminate on the 10 year anniversary of completion.</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addition to the above, the contingent consideration includes future royalty payments for a low single to low double-digit percentage of net sales of ARTMS products or Telix products.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contingent consideration liability has been valued using a discounted cash flow model that utilizes certain unobservable level 3 inputs. These key assumptions include risk adjusted post-tax discount rate at acquisition of 15.0%, FDA approval dates, expected sales volume over the forecast period and net sales price per unit and a probability success factor in relation to ARTMS achieving its clinical or commercial milestones.</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quantitative information about these assumptions, including the impact of sensitivities from reasonably possible changes where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 valuation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Methodology</w:t>
            </w:r>
          </w:p>
        </w:tc>
        <w:tc>
          <w:tcPr>
            <w:tcW w:w="4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8"/>
        </w:trPr>
        <w:tc>
          <w:tcPr>
            <w:tcW w:w="1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Risk adjusted post-tax</w:t>
            </w:r>
          </w:p>
        </w:tc>
        <w:tc>
          <w:tcPr>
            <w:tcW w:w="44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The post-tax discount rate used in the valuation has been</w:t>
            </w:r>
          </w:p>
        </w:tc>
        <w:tc>
          <w:tcPr>
            <w:tcW w:w="488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A 0.5% increase / decrease in the post-tax discount rate would</w:t>
            </w:r>
          </w:p>
        </w:tc>
      </w:tr>
      <w:tr>
        <w:trPr>
          <w:trHeight w:val="21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determined based on required rates of returns of listed</w:t>
            </w:r>
          </w:p>
        </w:tc>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 increase the contingent consideration by $235,000.</w:t>
            </w:r>
          </w:p>
        </w:tc>
      </w:tr>
      <w:tr>
        <w:trPr>
          <w:trHeight w:val="216"/>
        </w:trPr>
        <w:tc>
          <w:tcPr>
            <w:tcW w:w="1880" w:type="dxa"/>
            <w:vAlign w:val="bottom"/>
            <w:shd w:val="clear" w:color="auto" w:fill="CCEEFF"/>
          </w:tcPr>
          <w:p>
            <w:pPr>
              <w:spacing w:after="0"/>
              <w:rPr>
                <w:sz w:val="18"/>
                <w:szCs w:val="18"/>
                <w:color w:val="auto"/>
              </w:rPr>
            </w:pPr>
          </w:p>
        </w:tc>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companies in the biotechnology industry (having regards to</w:t>
            </w:r>
          </w:p>
        </w:tc>
        <w:tc>
          <w:tcPr>
            <w:tcW w:w="4880" w:type="dxa"/>
            <w:vAlign w:val="bottom"/>
            <w:shd w:val="clear" w:color="auto" w:fill="CCEEFF"/>
          </w:tcPr>
          <w:p>
            <w:pPr>
              <w:spacing w:after="0"/>
              <w:rPr>
                <w:sz w:val="18"/>
                <w:szCs w:val="18"/>
                <w:color w:val="auto"/>
              </w:rPr>
            </w:pPr>
          </w:p>
        </w:tc>
      </w:tr>
      <w:tr>
        <w:trPr>
          <w:trHeight w:val="234"/>
        </w:trPr>
        <w:tc>
          <w:tcPr>
            <w:tcW w:w="1880" w:type="dxa"/>
            <w:vAlign w:val="bottom"/>
            <w:shd w:val="clear" w:color="auto" w:fill="CCEEFF"/>
          </w:tcPr>
          <w:p>
            <w:pPr>
              <w:spacing w:after="0"/>
              <w:rPr>
                <w:sz w:val="20"/>
                <w:szCs w:val="20"/>
                <w:color w:val="auto"/>
              </w:rPr>
            </w:pPr>
          </w:p>
        </w:tc>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their stage of development, size and risk adjustments).</w:t>
            </w:r>
          </w:p>
        </w:tc>
        <w:tc>
          <w:tcPr>
            <w:tcW w:w="4880" w:type="dxa"/>
            <w:vAlign w:val="bottom"/>
            <w:shd w:val="clear" w:color="auto" w:fill="CCEEFF"/>
          </w:tcPr>
          <w:p>
            <w:pPr>
              <w:spacing w:after="0"/>
              <w:rPr>
                <w:sz w:val="20"/>
                <w:szCs w:val="20"/>
                <w:color w:val="auto"/>
              </w:rPr>
            </w:pPr>
          </w:p>
        </w:tc>
      </w:tr>
      <w:tr>
        <w:trPr>
          <w:trHeight w:val="198"/>
        </w:trPr>
        <w:tc>
          <w:tcPr>
            <w:tcW w:w="6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Expected sales volumes -   This is determined through assumptions on target market</w:t>
            </w:r>
          </w:p>
        </w:tc>
        <w:tc>
          <w:tcPr>
            <w:tcW w:w="48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A 10.0% increase / decrease in the sales volumes would increase /</w:t>
            </w: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ARTMS and Telix products population, penetration and growth rates in the United</w:t>
            </w:r>
          </w:p>
        </w:tc>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the contingent consideration by $1,083,000.</w:t>
            </w:r>
          </w:p>
        </w:tc>
      </w:tr>
      <w:tr>
        <w:trPr>
          <w:trHeight w:val="234"/>
        </w:trPr>
        <w:tc>
          <w:tcPr>
            <w:tcW w:w="1880" w:type="dxa"/>
            <w:vAlign w:val="bottom"/>
          </w:tcPr>
          <w:p>
            <w:pPr>
              <w:spacing w:after="0"/>
              <w:rPr>
                <w:sz w:val="20"/>
                <w:szCs w:val="20"/>
                <w:color w:val="auto"/>
              </w:rPr>
            </w:pPr>
          </w:p>
        </w:tc>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States and Europe.</w:t>
            </w:r>
          </w:p>
        </w:tc>
        <w:tc>
          <w:tcPr>
            <w:tcW w:w="4880" w:type="dxa"/>
            <w:vAlign w:val="bottom"/>
          </w:tcPr>
          <w:p>
            <w:pPr>
              <w:spacing w:after="0"/>
              <w:rPr>
                <w:sz w:val="20"/>
                <w:szCs w:val="20"/>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sales price per unit</w:t>
            </w:r>
          </w:p>
        </w:tc>
        <w:tc>
          <w:tcPr>
            <w:tcW w:w="44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The net sales price per unit is estimated based on</w:t>
            </w:r>
          </w:p>
        </w:tc>
        <w:tc>
          <w:tcPr>
            <w:tcW w:w="488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A 10.0% increase / decrease in the net sales price per unit would</w:t>
            </w:r>
          </w:p>
        </w:tc>
      </w:tr>
      <w:tr>
        <w:trPr>
          <w:trHeight w:val="216"/>
        </w:trPr>
        <w:tc>
          <w:tcPr>
            <w:tcW w:w="1880" w:type="dxa"/>
            <w:vAlign w:val="bottom"/>
            <w:shd w:val="clear" w:color="auto" w:fill="CCEEFF"/>
          </w:tcPr>
          <w:p>
            <w:pPr>
              <w:spacing w:after="0"/>
              <w:rPr>
                <w:sz w:val="18"/>
                <w:szCs w:val="18"/>
                <w:color w:val="auto"/>
              </w:rPr>
            </w:pPr>
          </w:p>
        </w:tc>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comparable products currently in the market.</w:t>
            </w:r>
          </w:p>
        </w:tc>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 decrease the contingent consideration by $1,020,000</w:t>
            </w:r>
          </w:p>
        </w:tc>
      </w:tr>
      <w:tr>
        <w:trPr>
          <w:trHeight w:val="234"/>
        </w:trPr>
        <w:tc>
          <w:tcPr>
            <w:tcW w:w="188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across the different royalties.</w:t>
            </w:r>
          </w:p>
        </w:tc>
      </w:tr>
      <w:tr>
        <w:trPr>
          <w:trHeight w:val="198"/>
        </w:trPr>
        <w:tc>
          <w:tcPr>
            <w:tcW w:w="1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Milestone achievement</w:t>
            </w:r>
          </w:p>
        </w:tc>
        <w:tc>
          <w:tcPr>
            <w:tcW w:w="44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This assumption is based on management’s estimate for</w:t>
            </w:r>
          </w:p>
        </w:tc>
        <w:tc>
          <w:tcPr>
            <w:tcW w:w="48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An increase / decrease in the probability of success factor by 10%</w:t>
            </w: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probability of success factor achieving the clinical or commercial milestones.</w:t>
            </w:r>
          </w:p>
        </w:tc>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would increase / decrease the contingent consideration by</w:t>
            </w:r>
          </w:p>
        </w:tc>
      </w:tr>
      <w:tr>
        <w:trPr>
          <w:trHeight w:val="234"/>
        </w:trPr>
        <w:tc>
          <w:tcPr>
            <w:tcW w:w="18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$2,709,000.</w:t>
            </w: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300" w:name="page301"/>
    <w:bookmarkEnd w:id="30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28.</w:t>
            </w:r>
          </w:p>
        </w:tc>
        <w:tc>
          <w:tcPr>
            <w:tcW w:w="2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Employee benefit obligations</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Bonuses</w:t>
            </w:r>
          </w:p>
        </w:tc>
        <w:tc>
          <w:tcPr>
            <w:tcW w:w="12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18,142</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10,630</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Annual leave</w:t>
            </w:r>
          </w:p>
        </w:tc>
        <w:tc>
          <w:tcPr>
            <w:tcW w:w="1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4,692</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3,282</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service leave</w:t>
            </w:r>
          </w:p>
        </w:tc>
        <w:tc>
          <w:tcPr>
            <w:tcW w:w="12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23,331</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14,242</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2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22,834</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13,912</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Non-current</w:t>
            </w:r>
          </w:p>
        </w:tc>
        <w:tc>
          <w:tcPr>
            <w:tcW w:w="1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employee benefit obligations</w:t>
            </w:r>
          </w:p>
        </w:tc>
        <w:tc>
          <w:tcPr>
            <w:tcW w:w="12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23,331</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14,242</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29.</w:t>
            </w:r>
          </w:p>
        </w:tc>
        <w:tc>
          <w:tcPr>
            <w:tcW w:w="2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29.1.Share capital</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13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‘000</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‘000</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shd w:val="clear" w:color="auto" w:fill="000000"/>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w w:val="94"/>
              </w:rPr>
              <w:t>A$’000</w:t>
            </w:r>
          </w:p>
        </w:tc>
        <w:tc>
          <w:tcPr>
            <w:tcW w:w="4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323,727</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316,343</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285,073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446,268</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370,972</w:t>
            </w:r>
          </w:p>
        </w:tc>
        <w:tc>
          <w:tcPr>
            <w:tcW w:w="4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170,840</w:t>
            </w:r>
          </w:p>
        </w:tc>
        <w:tc>
          <w:tcPr>
            <w:tcW w:w="0" w:type="dxa"/>
            <w:vAlign w:val="bottom"/>
          </w:tcPr>
          <w:p>
            <w:pPr>
              <w:spacing w:after="0"/>
              <w:rPr>
                <w:sz w:val="1"/>
                <w:szCs w:val="1"/>
                <w:color w:val="auto"/>
              </w:rPr>
            </w:pPr>
          </w:p>
        </w:tc>
      </w:tr>
      <w:tr>
        <w:trPr>
          <w:trHeight w:val="188"/>
        </w:trPr>
        <w:tc>
          <w:tcPr>
            <w:tcW w:w="3160" w:type="dxa"/>
            <w:vAlign w:val="bottom"/>
            <w:tcBorders>
              <w:right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color w:val="auto"/>
              </w:rPr>
              <w:t>Shares issued through the exercise of share</w:t>
            </w:r>
          </w:p>
        </w:tc>
        <w:tc>
          <w:tcPr>
            <w:tcW w:w="1240" w:type="dxa"/>
            <w:vAlign w:val="bottom"/>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160" w:type="dxa"/>
            <w:vAlign w:val="bottom"/>
            <w:tcBorders>
              <w:bottom w:val="single" w:sz="8" w:color="auto"/>
              <w:right w:val="single" w:sz="8" w:color="auto"/>
            </w:tcBorders>
            <w:gridSpan w:val="3"/>
          </w:tcPr>
          <w:p>
            <w:pPr>
              <w:ind w:left="180"/>
              <w:spacing w:after="0" w:line="243" w:lineRule="exact"/>
              <w:rPr>
                <w:sz w:val="20"/>
                <w:szCs w:val="20"/>
                <w:color w:val="auto"/>
              </w:rPr>
            </w:pPr>
            <w:r>
              <w:rPr>
                <w:rFonts w:ascii="Times New Roman" w:cs="Times New Roman" w:eastAsia="Times New Roman" w:hAnsi="Times New Roman"/>
                <w:sz w:val="17"/>
                <w:szCs w:val="17"/>
                <w:color w:val="auto"/>
              </w:rPr>
              <w:t>options and warrants</w:t>
            </w:r>
            <w:r>
              <w:rPr>
                <w:rFonts w:ascii="Times New Roman" w:cs="Times New Roman" w:eastAsia="Times New Roman" w:hAnsi="Times New Roman"/>
                <w:sz w:val="28"/>
                <w:szCs w:val="28"/>
                <w:color w:val="auto"/>
                <w:vertAlign w:val="superscript"/>
              </w:rPr>
              <w:t>1</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40" w:type="dxa"/>
            <w:vAlign w:val="bottom"/>
            <w:tcBorders>
              <w:bottom w:val="single" w:sz="8" w:color="auto"/>
            </w:tcBorders>
            <w:shd w:val="clear" w:color="auto" w:fill="000000"/>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40" w:type="dxa"/>
            <w:vAlign w:val="bottom"/>
            <w:tcBorders>
              <w:bottom w:val="single" w:sz="8" w:color="auto"/>
            </w:tcBorders>
            <w:shd w:val="clear" w:color="auto" w:fill="000000"/>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40" w:type="dxa"/>
            <w:vAlign w:val="bottom"/>
            <w:tcBorders>
              <w:bottom w:val="single" w:sz="8" w:color="auto"/>
            </w:tcBorders>
            <w:shd w:val="clear" w:color="auto" w:fill="000000"/>
          </w:tcPr>
          <w:p>
            <w:pPr>
              <w:spacing w:after="0"/>
              <w:rPr>
                <w:sz w:val="21"/>
                <w:szCs w:val="21"/>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42,572</w:t>
            </w:r>
          </w:p>
        </w:tc>
        <w:tc>
          <w:tcPr>
            <w:tcW w:w="4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32,948</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gridSpan w:val="3"/>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Contributions of equity</w:t>
            </w:r>
            <w:r>
              <w:rPr>
                <w:rFonts w:ascii="Times New Roman" w:cs="Times New Roman" w:eastAsia="Times New Roman" w:hAnsi="Times New Roman"/>
                <w:sz w:val="25"/>
                <w:szCs w:val="25"/>
                <w:color w:val="auto"/>
                <w:vertAlign w:val="superscript"/>
              </w:rPr>
              <w:t>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gridSpan w:val="3"/>
          </w:tcPr>
          <w:p>
            <w:pPr>
              <w:spacing w:after="0" w:line="216" w:lineRule="exact"/>
              <w:rPr>
                <w:sz w:val="20"/>
                <w:szCs w:val="20"/>
                <w:color w:val="auto"/>
              </w:rPr>
            </w:pPr>
            <w:r>
              <w:rPr>
                <w:rFonts w:ascii="Times New Roman" w:cs="Times New Roman" w:eastAsia="Times New Roman" w:hAnsi="Times New Roman"/>
                <w:sz w:val="16"/>
                <w:szCs w:val="16"/>
                <w:color w:val="auto"/>
              </w:rPr>
              <w:t>Shares issued for Dedicaid</w:t>
            </w:r>
            <w:r>
              <w:rPr>
                <w:rFonts w:ascii="Times New Roman" w:cs="Times New Roman" w:eastAsia="Times New Roman" w:hAnsi="Times New Roman"/>
                <w:sz w:val="25"/>
                <w:szCs w:val="25"/>
                <w:color w:val="auto"/>
                <w:vertAlign w:val="superscript"/>
              </w:rPr>
              <w:t>3</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4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160" w:type="dxa"/>
            <w:vAlign w:val="bottom"/>
            <w:tcBorders>
              <w:bottom w:val="single" w:sz="8" w:color="auto"/>
              <w:right w:val="single" w:sz="8" w:color="auto"/>
            </w:tcBorders>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Shares issued for Lightpoint</w:t>
            </w:r>
            <w:r>
              <w:rPr>
                <w:rFonts w:ascii="Times New Roman" w:cs="Times New Roman" w:eastAsia="Times New Roman" w:hAnsi="Times New Roman"/>
                <w:sz w:val="29"/>
                <w:szCs w:val="29"/>
                <w:color w:val="auto"/>
                <w:vertAlign w:val="superscript"/>
              </w:rPr>
              <w:t>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40" w:type="dxa"/>
            <w:vAlign w:val="bottom"/>
            <w:tcBorders>
              <w:bottom w:val="single" w:sz="8" w:color="auto"/>
            </w:tcBorders>
            <w:shd w:val="clear" w:color="auto" w:fill="000000"/>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2"/>
                <w:szCs w:val="22"/>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30,895</w:t>
            </w:r>
          </w:p>
        </w:tc>
        <w:tc>
          <w:tcPr>
            <w:tcW w:w="40" w:type="dxa"/>
            <w:vAlign w:val="bottom"/>
            <w:tcBorders>
              <w:bottom w:val="single" w:sz="8" w:color="auto"/>
            </w:tcBorders>
            <w:shd w:val="clear" w:color="auto" w:fill="000000"/>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160" w:type="dxa"/>
            <w:vAlign w:val="bottom"/>
            <w:tcBorders>
              <w:bottom w:val="single" w:sz="8" w:color="auto"/>
              <w:right w:val="single" w:sz="8" w:color="auto"/>
            </w:tcBorders>
            <w:gridSpan w:val="3"/>
          </w:tcPr>
          <w:p>
            <w:pPr>
              <w:spacing w:after="0" w:line="256" w:lineRule="exact"/>
              <w:rPr>
                <w:sz w:val="20"/>
                <w:szCs w:val="20"/>
                <w:color w:val="auto"/>
              </w:rPr>
            </w:pPr>
            <w:r>
              <w:rPr>
                <w:rFonts w:ascii="Times New Roman" w:cs="Times New Roman" w:eastAsia="Times New Roman" w:hAnsi="Times New Roman"/>
                <w:sz w:val="18"/>
                <w:szCs w:val="18"/>
                <w:color w:val="auto"/>
              </w:rPr>
              <w:t>Shares issued for IsoTherapeutics</w:t>
            </w:r>
            <w:r>
              <w:rPr>
                <w:rFonts w:ascii="Times New Roman" w:cs="Times New Roman" w:eastAsia="Times New Roman" w:hAnsi="Times New Roman"/>
                <w:sz w:val="29"/>
                <w:szCs w:val="29"/>
                <w:color w:val="auto"/>
                <w:vertAlign w:val="superscript"/>
              </w:rPr>
              <w:t>5</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40" w:type="dxa"/>
            <w:vAlign w:val="bottom"/>
            <w:tcBorders>
              <w:bottom w:val="single" w:sz="8" w:color="auto"/>
            </w:tcBorders>
            <w:shd w:val="clear" w:color="auto" w:fill="000000"/>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40" w:type="dxa"/>
            <w:vAlign w:val="bottom"/>
            <w:tcBorders>
              <w:bottom w:val="single" w:sz="8" w:color="auto"/>
            </w:tcBorders>
            <w:shd w:val="clear" w:color="auto" w:fill="000000"/>
          </w:tcPr>
          <w:p>
            <w:pPr>
              <w:spacing w:after="0"/>
              <w:rPr>
                <w:sz w:val="22"/>
                <w:szCs w:val="2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3160" w:type="dxa"/>
            <w:vAlign w:val="bottom"/>
            <w:tcBorders>
              <w:bottom w:val="single" w:sz="8" w:color="auto"/>
              <w:right w:val="single" w:sz="8" w:color="auto"/>
            </w:tcBorders>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Shares issued for ARTMS</w:t>
            </w:r>
            <w:r>
              <w:rPr>
                <w:rFonts w:ascii="Times New Roman" w:cs="Times New Roman" w:eastAsia="Times New Roman" w:hAnsi="Times New Roman"/>
                <w:sz w:val="29"/>
                <w:szCs w:val="29"/>
                <w:color w:val="auto"/>
                <w:vertAlign w:val="superscript"/>
              </w:rPr>
              <w:t>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40" w:type="dxa"/>
            <w:vAlign w:val="bottom"/>
            <w:tcBorders>
              <w:bottom w:val="single" w:sz="8" w:color="auto"/>
            </w:tcBorders>
            <w:shd w:val="clear" w:color="auto" w:fill="000000"/>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71,610</w:t>
            </w:r>
          </w:p>
        </w:tc>
        <w:tc>
          <w:tcPr>
            <w:tcW w:w="40" w:type="dxa"/>
            <w:vAlign w:val="bottom"/>
            <w:tcBorders>
              <w:bottom w:val="single" w:sz="8" w:color="auto"/>
            </w:tcBorders>
            <w:shd w:val="clear" w:color="auto" w:fill="000000"/>
          </w:tcPr>
          <w:p>
            <w:pPr>
              <w:spacing w:after="0"/>
              <w:rPr>
                <w:sz w:val="22"/>
                <w:szCs w:val="22"/>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160" w:type="dxa"/>
            <w:vAlign w:val="bottom"/>
            <w:tcBorders>
              <w:bottom w:val="single" w:sz="8" w:color="auto"/>
              <w:right w:val="single" w:sz="8" w:color="auto"/>
            </w:tcBorders>
            <w:gridSpan w:val="3"/>
          </w:tcPr>
          <w:p>
            <w:pPr>
              <w:spacing w:after="0" w:line="256" w:lineRule="exact"/>
              <w:rPr>
                <w:sz w:val="20"/>
                <w:szCs w:val="20"/>
                <w:color w:val="auto"/>
              </w:rPr>
            </w:pPr>
            <w:r>
              <w:rPr>
                <w:rFonts w:ascii="Times New Roman" w:cs="Times New Roman" w:eastAsia="Times New Roman" w:hAnsi="Times New Roman"/>
                <w:sz w:val="18"/>
                <w:szCs w:val="18"/>
                <w:color w:val="auto"/>
              </w:rPr>
              <w:t>Shares issued for QSAM</w:t>
            </w:r>
            <w:r>
              <w:rPr>
                <w:rFonts w:ascii="Times New Roman" w:cs="Times New Roman" w:eastAsia="Times New Roman" w:hAnsi="Times New Roman"/>
                <w:sz w:val="29"/>
                <w:szCs w:val="29"/>
                <w:color w:val="auto"/>
                <w:vertAlign w:val="superscript"/>
              </w:rPr>
              <w:t>7</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40" w:type="dxa"/>
            <w:vAlign w:val="bottom"/>
            <w:tcBorders>
              <w:bottom w:val="single" w:sz="8" w:color="auto"/>
            </w:tcBorders>
            <w:shd w:val="clear" w:color="auto" w:fill="000000"/>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61,906</w:t>
            </w:r>
          </w:p>
        </w:tc>
        <w:tc>
          <w:tcPr>
            <w:tcW w:w="40" w:type="dxa"/>
            <w:vAlign w:val="bottom"/>
            <w:tcBorders>
              <w:bottom w:val="single" w:sz="8" w:color="auto"/>
            </w:tcBorders>
            <w:shd w:val="clear" w:color="auto" w:fill="000000"/>
          </w:tcPr>
          <w:p>
            <w:pPr>
              <w:spacing w:after="0"/>
              <w:rPr>
                <w:sz w:val="22"/>
                <w:szCs w:val="2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60" w:type="dxa"/>
            <w:vAlign w:val="bottom"/>
            <w:tcBorders>
              <w:right w:val="single" w:sz="8" w:color="auto"/>
            </w:tcBorders>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Transaction costs arising on new share</w:t>
            </w:r>
          </w:p>
        </w:tc>
        <w:tc>
          <w:tcPr>
            <w:tcW w:w="1240" w:type="dxa"/>
            <w:vAlign w:val="bottom"/>
            <w:shd w:val="clear" w:color="auto" w:fill="CCEEFF"/>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60" w:type="dxa"/>
            <w:vAlign w:val="bottom"/>
            <w:tcBorders>
              <w:bottom w:val="single" w:sz="8" w:color="auto"/>
              <w:right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0"/>
                <w:szCs w:val="20"/>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334,725</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323,727</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316,343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596,776</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446,268</w:t>
            </w:r>
          </w:p>
        </w:tc>
        <w:tc>
          <w:tcPr>
            <w:tcW w:w="4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370,972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238"/>
        <w:spacing w:after="0"/>
        <w:tabs>
          <w:tab w:leader="none" w:pos="3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exercised during the year through the employee Equity Incentive Plan resulted in 525,000 (2023: 3,879,000, 2022: 8,543,000) shares being</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of total value of $8,080,000 (2023: $42,572,000, 2022: $32,948,000).</w:t>
      </w:r>
    </w:p>
    <w:p>
      <w:pPr>
        <w:spacing w:after="0" w:line="206" w:lineRule="exact"/>
        <w:rPr>
          <w:rFonts w:ascii="Times New Roman" w:cs="Times New Roman" w:eastAsia="Times New Roman" w:hAnsi="Times New Roman"/>
          <w:sz w:val="18"/>
          <w:szCs w:val="18"/>
          <w:color w:val="auto"/>
        </w:rPr>
      </w:pPr>
    </w:p>
    <w:p>
      <w:pPr>
        <w:ind w:left="340" w:right="40" w:hanging="238"/>
        <w:spacing w:after="0" w:line="282" w:lineRule="auto"/>
        <w:tabs>
          <w:tab w:leader="none" w:pos="3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27,2022, the Group completed a $175,000,000 institutional placement of 22,727,000 new, fully paid ordinary shares at a price of $7.70 per share. As part of this placement, the Group also incurred $7,816,000 of associated transaction costs.</w:t>
      </w:r>
    </w:p>
    <w:p>
      <w:pPr>
        <w:spacing w:after="0" w:line="161" w:lineRule="exact"/>
        <w:rPr>
          <w:rFonts w:ascii="Times New Roman" w:cs="Times New Roman" w:eastAsia="Times New Roman" w:hAnsi="Times New Roman"/>
          <w:sz w:val="18"/>
          <w:szCs w:val="18"/>
          <w:color w:val="auto"/>
        </w:rPr>
      </w:pPr>
    </w:p>
    <w:p>
      <w:pPr>
        <w:ind w:left="340" w:right="20" w:hanging="238"/>
        <w:spacing w:after="0" w:line="282" w:lineRule="auto"/>
        <w:tabs>
          <w:tab w:leader="none" w:pos="3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27, 2023, the Group completed the acquisition of Dedicaid GmbH. The consideration for the acquisition comprised 207,000 in Telix shares at a 10-day volume weighted average price of shares on the execution date of $8.73 per share.</w:t>
      </w:r>
    </w:p>
    <w:p>
      <w:pPr>
        <w:spacing w:after="0" w:line="161" w:lineRule="exact"/>
        <w:rPr>
          <w:rFonts w:ascii="Times New Roman" w:cs="Times New Roman" w:eastAsia="Times New Roman" w:hAnsi="Times New Roman"/>
          <w:sz w:val="18"/>
          <w:szCs w:val="18"/>
          <w:color w:val="auto"/>
        </w:rPr>
      </w:pPr>
    </w:p>
    <w:p>
      <w:pPr>
        <w:ind w:left="340" w:right="240" w:hanging="238"/>
        <w:spacing w:after="0" w:line="282" w:lineRule="auto"/>
        <w:tabs>
          <w:tab w:leader="none" w:pos="3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2023, the Group completed the acquisition of Lightpoint through the issue of 3,298,000 fully paid ordinary Telix shares at $9.3659 per share.</w:t>
      </w:r>
    </w:p>
    <w:p>
      <w:pPr>
        <w:spacing w:after="0" w:line="161" w:lineRule="exact"/>
        <w:rPr>
          <w:rFonts w:ascii="Times New Roman" w:cs="Times New Roman" w:eastAsia="Times New Roman" w:hAnsi="Times New Roman"/>
          <w:sz w:val="18"/>
          <w:szCs w:val="18"/>
          <w:color w:val="auto"/>
        </w:rPr>
      </w:pPr>
    </w:p>
    <w:p>
      <w:pPr>
        <w:ind w:left="340" w:right="220" w:hanging="238"/>
        <w:spacing w:after="0" w:line="282" w:lineRule="auto"/>
        <w:tabs>
          <w:tab w:leader="none" w:pos="3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9, 2024, the Group completed the acquisition of IsoTherapeutics. The consideration included the issue of 717,587 fully paid ordinary Telix shares at $12.42 per share.</w:t>
      </w:r>
    </w:p>
    <w:p>
      <w:pPr>
        <w:spacing w:after="0" w:line="161" w:lineRule="exact"/>
        <w:rPr>
          <w:rFonts w:ascii="Times New Roman" w:cs="Times New Roman" w:eastAsia="Times New Roman" w:hAnsi="Times New Roman"/>
          <w:sz w:val="18"/>
          <w:szCs w:val="18"/>
          <w:color w:val="auto"/>
        </w:rPr>
      </w:pPr>
    </w:p>
    <w:p>
      <w:pPr>
        <w:ind w:left="340" w:right="40" w:hanging="238"/>
        <w:spacing w:after="0" w:line="282" w:lineRule="auto"/>
        <w:tabs>
          <w:tab w:leader="none" w:pos="3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11, 2024, the Group completed the acquisition of ARTMS. The consideration included the issue of 5,674,365 fully paid ordinary Telix shares at $12.62 per share.</w:t>
      </w:r>
    </w:p>
    <w:p>
      <w:pPr>
        <w:spacing w:after="0" w:line="161" w:lineRule="exact"/>
        <w:rPr>
          <w:rFonts w:ascii="Times New Roman" w:cs="Times New Roman" w:eastAsia="Times New Roman" w:hAnsi="Times New Roman"/>
          <w:sz w:val="18"/>
          <w:szCs w:val="18"/>
          <w:color w:val="auto"/>
        </w:rPr>
      </w:pPr>
    </w:p>
    <w:p>
      <w:pPr>
        <w:ind w:left="340" w:right="20" w:hanging="238"/>
        <w:spacing w:after="0" w:line="282" w:lineRule="auto"/>
        <w:tabs>
          <w:tab w:leader="none" w:pos="3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 2024, the Group completed the acquisition of QSAM. The purchase price included the issue of 3,671,120 fully paid ordinary Telix shares at $14.80 per share and a further 409,026 fully paid ordinary Telix shares at $18.05 per share.</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weighted average ordinary shares for the period January 1, 2024 to December 31, 2024 is 331,226,491 (2023: 319,180,783). The Company does not have a limited amount of authorized capital under Australian law.</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applying to securities:</w:t>
      </w:r>
    </w:p>
    <w:p>
      <w:pPr>
        <w:spacing w:after="0" w:line="223" w:lineRule="exact"/>
        <w:rPr>
          <w:sz w:val="20"/>
          <w:szCs w:val="20"/>
          <w:color w:val="auto"/>
        </w:rPr>
      </w:pPr>
    </w:p>
    <w:p>
      <w:pPr>
        <w:ind w:left="380" w:right="100" w:hanging="372"/>
        <w:spacing w:after="0" w:line="284" w:lineRule="auto"/>
        <w:tabs>
          <w:tab w:leader="none" w:pos="3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Ordinary shares: </w:t>
      </w:r>
      <w:r>
        <w:rPr>
          <w:rFonts w:ascii="Times New Roman" w:cs="Times New Roman" w:eastAsia="Times New Roman" w:hAnsi="Times New Roman"/>
          <w:sz w:val="18"/>
          <w:szCs w:val="18"/>
          <w:color w:val="auto"/>
        </w:rPr>
        <w:t>Ordinary shares entitle the holder to participate in dividends, and to share in the proceeds of winding up the Company in proportion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number of and amounts paid on the shares held.</w:t>
      </w:r>
    </w:p>
    <w:p>
      <w:pPr>
        <w:spacing w:after="0" w:line="158" w:lineRule="exact"/>
        <w:rPr>
          <w:rFonts w:ascii="Times New Roman" w:cs="Times New Roman" w:eastAsia="Times New Roman" w:hAnsi="Times New Roman"/>
          <w:sz w:val="18"/>
          <w:szCs w:val="18"/>
          <w:color w:val="auto"/>
        </w:rPr>
      </w:pPr>
    </w:p>
    <w:p>
      <w:pPr>
        <w:ind w:left="380" w:right="500" w:hanging="372"/>
        <w:spacing w:after="0" w:line="284" w:lineRule="auto"/>
        <w:tabs>
          <w:tab w:leader="none" w:pos="3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Options and rights: </w:t>
      </w:r>
      <w:r>
        <w:rPr>
          <w:rFonts w:ascii="Times New Roman" w:cs="Times New Roman" w:eastAsia="Times New Roman" w:hAnsi="Times New Roman"/>
          <w:sz w:val="18"/>
          <w:szCs w:val="18"/>
          <w:color w:val="auto"/>
        </w:rPr>
        <w:t>Holders of Options and rights have no voting rights. Information relating to the Company’s Employee Incentive Plan (EIP),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details of Options issued, exercised and lapsed during the financial year, is set out in note 30.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29.2.Share capital reserve</w:t>
            </w: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1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1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3160" w:type="dxa"/>
            <w:vAlign w:val="bottom"/>
            <w:tcBorders>
              <w:right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’000</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’000</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‘000</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(62,829)</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(26,909)</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Treasury shares acquired</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525</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3,877</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(35,920)</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(26,909)</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 of convertible bonds</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97,900</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6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Transaction costs arising on convertible</w:t>
            </w:r>
          </w:p>
        </w:tc>
        <w:tc>
          <w:tcPr>
            <w:tcW w:w="134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bonds issue</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40" w:type="dxa"/>
            <w:vAlign w:val="bottom"/>
            <w:tcBorders>
              <w:bottom w:val="single" w:sz="8" w:color="auto"/>
            </w:tcBorders>
            <w:shd w:val="clear" w:color="auto" w:fill="000000"/>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allocated to employees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25,745</w:t>
            </w:r>
          </w:p>
        </w:tc>
        <w:tc>
          <w:tcPr>
            <w:tcW w:w="4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(62,829)</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(26,909)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18343A"/>
        </w:rPr>
        <w:t>29.2.1.</w:t>
      </w:r>
      <w:r>
        <w:rPr>
          <w:rFonts w:ascii="Times New Roman" w:cs="Times New Roman" w:eastAsia="Times New Roman" w:hAnsi="Times New Roman"/>
          <w:sz w:val="18"/>
          <w:szCs w:val="18"/>
          <w:color w:val="000000"/>
        </w:rPr>
        <w:t>Treasury shares</w:t>
      </w:r>
    </w:p>
    <w:p>
      <w:pPr>
        <w:spacing w:after="0" w:line="22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Ordinary shares in the Company were purchased by the Telix Pharmaceuticals Employee Share Trust for the purpose of issuing shares under the Equity Incentive Plan. These shares are allocated to employees and are not held within the Employee Share Trust (see note 30 for further information).</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18343A"/>
        </w:rPr>
        <w:t>29.2.2.</w:t>
      </w:r>
      <w:r>
        <w:rPr>
          <w:rFonts w:ascii="Times New Roman" w:cs="Times New Roman" w:eastAsia="Times New Roman" w:hAnsi="Times New Roman"/>
          <w:sz w:val="18"/>
          <w:szCs w:val="18"/>
          <w:color w:val="000000"/>
        </w:rPr>
        <w:t>Conversion right of convertible bonds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shown for the issue of convertible bonds is the initial value of the conversion rights relating to the convertible bonds.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29.3.Other reserves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410"/>
        </w:trPr>
        <w:tc>
          <w:tcPr>
            <w:tcW w:w="5160" w:type="dxa"/>
            <w:vAlign w:val="bottom"/>
            <w:tcBorders>
              <w:right w:val="single" w:sz="8" w:color="auto"/>
            </w:tcBorders>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20" w:type="dxa"/>
            <w:vAlign w:val="bottom"/>
            <w:shd w:val="clear" w:color="auto" w:fill="000000"/>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Share-based</w:t>
            </w:r>
          </w:p>
        </w:tc>
        <w:tc>
          <w:tcPr>
            <w:tcW w:w="20" w:type="dxa"/>
            <w:vAlign w:val="bottom"/>
            <w:shd w:val="clear" w:color="auto" w:fill="000000"/>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Financial assets at</w:t>
            </w:r>
          </w:p>
        </w:tc>
        <w:tc>
          <w:tcPr>
            <w:tcW w:w="40" w:type="dxa"/>
            <w:vAlign w:val="bottom"/>
            <w:shd w:val="clear" w:color="auto" w:fill="000000"/>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160" w:type="dxa"/>
            <w:vAlign w:val="bottom"/>
            <w:tcBorders>
              <w:right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translation reserve</w:t>
            </w:r>
          </w:p>
        </w:tc>
        <w:tc>
          <w:tcPr>
            <w:tcW w:w="20" w:type="dxa"/>
            <w:vAlign w:val="bottom"/>
            <w:tcBorders>
              <w:bottom w:val="single" w:sz="8" w:color="auto"/>
            </w:tcBorders>
            <w:shd w:val="clear" w:color="auto" w:fill="000000"/>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payments reserve</w:t>
            </w:r>
          </w:p>
        </w:tc>
        <w:tc>
          <w:tcPr>
            <w:tcW w:w="20" w:type="dxa"/>
            <w:vAlign w:val="bottom"/>
            <w:tcBorders>
              <w:bottom w:val="single" w:sz="8" w:color="auto"/>
            </w:tcBorders>
            <w:shd w:val="clear" w:color="auto" w:fill="000000"/>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FVOCI reserve</w:t>
            </w:r>
          </w:p>
        </w:tc>
        <w:tc>
          <w:tcPr>
            <w:tcW w:w="40" w:type="dxa"/>
            <w:vAlign w:val="bottom"/>
            <w:tcBorders>
              <w:bottom w:val="single" w:sz="8" w:color="auto"/>
            </w:tcBorders>
            <w:shd w:val="clear" w:color="auto" w:fill="000000"/>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at January 1, 2024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(5,414)</w:t>
            </w:r>
          </w:p>
        </w:tc>
        <w:tc>
          <w:tcPr>
            <w:tcW w:w="2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35,446</w:t>
            </w:r>
          </w:p>
        </w:tc>
        <w:tc>
          <w:tcPr>
            <w:tcW w:w="20" w:type="dxa"/>
            <w:vAlign w:val="bottom"/>
            <w:tcBorders>
              <w:bottom w:val="single" w:sz="8" w:color="auto"/>
            </w:tcBorders>
            <w:shd w:val="clear" w:color="auto" w:fill="000000"/>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29,137</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47,684</w:t>
            </w:r>
          </w:p>
        </w:tc>
        <w:tc>
          <w:tcPr>
            <w:tcW w:w="2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42,698</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47,684</w:t>
            </w:r>
          </w:p>
        </w:tc>
        <w:tc>
          <w:tcPr>
            <w:tcW w:w="2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(4,986)</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42,698</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19,660</w:t>
            </w:r>
          </w:p>
        </w:tc>
        <w:tc>
          <w:tcPr>
            <w:tcW w:w="20" w:type="dxa"/>
            <w:vAlign w:val="bottom"/>
            <w:tcBorders>
              <w:bottom w:val="single" w:sz="8" w:color="auto"/>
            </w:tcBorders>
            <w:shd w:val="clear" w:color="auto" w:fill="000000"/>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19,660</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 associated with acquisitions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67,943</w:t>
            </w:r>
          </w:p>
        </w:tc>
        <w:tc>
          <w:tcPr>
            <w:tcW w:w="20" w:type="dxa"/>
            <w:vAlign w:val="bottom"/>
            <w:tcBorders>
              <w:bottom w:val="single" w:sz="8" w:color="auto"/>
            </w:tcBorders>
            <w:shd w:val="clear" w:color="auto" w:fill="000000"/>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67,943</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Transfer on exercise of options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 w:type="dxa"/>
            <w:vAlign w:val="bottom"/>
            <w:tcBorders>
              <w:bottom w:val="single" w:sz="8" w:color="auto"/>
            </w:tcBorders>
            <w:shd w:val="clear" w:color="auto" w:fill="000000"/>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86,819</w:t>
            </w:r>
          </w:p>
        </w:tc>
        <w:tc>
          <w:tcPr>
            <w:tcW w:w="20" w:type="dxa"/>
            <w:vAlign w:val="bottom"/>
            <w:tcBorders>
              <w:bottom w:val="single" w:sz="8" w:color="auto"/>
            </w:tcBorders>
            <w:shd w:val="clear" w:color="auto" w:fill="000000"/>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86,819</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at December 31, 2024</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42,270</w:t>
            </w:r>
          </w:p>
        </w:tc>
        <w:tc>
          <w:tcPr>
            <w:tcW w:w="2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122,265</w:t>
            </w:r>
          </w:p>
        </w:tc>
        <w:tc>
          <w:tcPr>
            <w:tcW w:w="20" w:type="dxa"/>
            <w:vAlign w:val="bottom"/>
            <w:tcBorders>
              <w:bottom w:val="single" w:sz="8" w:color="auto"/>
            </w:tcBorders>
            <w:shd w:val="clear" w:color="auto" w:fill="000000"/>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(5,881)</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158,654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Share-based</w:t>
            </w:r>
          </w:p>
        </w:tc>
        <w:tc>
          <w:tcPr>
            <w:tcW w:w="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Financial assets at</w:t>
            </w:r>
          </w:p>
        </w:tc>
        <w:tc>
          <w:tcPr>
            <w:tcW w:w="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5160" w:type="dxa"/>
            <w:vAlign w:val="bottom"/>
            <w:tcBorders>
              <w:right w:val="single" w:sz="8" w:color="auto"/>
            </w:tcBorders>
          </w:tcPr>
          <w:p>
            <w:pPr>
              <w:spacing w:after="0"/>
              <w:rPr>
                <w:sz w:val="16"/>
                <w:szCs w:val="16"/>
                <w:color w:val="auto"/>
              </w:rPr>
            </w:pPr>
          </w:p>
        </w:tc>
        <w:tc>
          <w:tcPr>
            <w:tcW w:w="16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160" w:type="dxa"/>
            <w:vAlign w:val="bottom"/>
            <w:tcBorders>
              <w:right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translation reserve</w:t>
            </w:r>
          </w:p>
        </w:tc>
        <w:tc>
          <w:tcPr>
            <w:tcW w:w="20" w:type="dxa"/>
            <w:vAlign w:val="bottom"/>
            <w:tcBorders>
              <w:bottom w:val="single" w:sz="8" w:color="auto"/>
            </w:tcBorders>
            <w:shd w:val="clear" w:color="auto" w:fill="000000"/>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payments reserve</w:t>
            </w:r>
          </w:p>
        </w:tc>
        <w:tc>
          <w:tcPr>
            <w:tcW w:w="20" w:type="dxa"/>
            <w:vAlign w:val="bottom"/>
            <w:tcBorders>
              <w:bottom w:val="single" w:sz="8" w:color="auto"/>
            </w:tcBorders>
            <w:shd w:val="clear" w:color="auto" w:fill="000000"/>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FVOCI reserve</w:t>
            </w:r>
          </w:p>
        </w:tc>
        <w:tc>
          <w:tcPr>
            <w:tcW w:w="40" w:type="dxa"/>
            <w:vAlign w:val="bottom"/>
            <w:tcBorders>
              <w:bottom w:val="single" w:sz="8" w:color="auto"/>
            </w:tcBorders>
            <w:shd w:val="clear" w:color="auto" w:fill="000000"/>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at January 1, 2023</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w:t>
            </w:r>
          </w:p>
        </w:tc>
        <w:tc>
          <w:tcPr>
            <w:tcW w:w="2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9,321</w:t>
            </w:r>
          </w:p>
        </w:tc>
        <w:tc>
          <w:tcPr>
            <w:tcW w:w="20" w:type="dxa"/>
            <w:vAlign w:val="bottom"/>
            <w:tcBorders>
              <w:bottom w:val="single" w:sz="8" w:color="auto"/>
            </w:tcBorders>
            <w:shd w:val="clear" w:color="auto" w:fill="000000"/>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8,759</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2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(4,852)</w:t>
            </w:r>
          </w:p>
        </w:tc>
        <w:tc>
          <w:tcPr>
            <w:tcW w:w="2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(5,747)</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20" w:type="dxa"/>
            <w:vAlign w:val="bottom"/>
            <w:tcBorders>
              <w:bottom w:val="single" w:sz="8" w:color="auto"/>
            </w:tcBorders>
            <w:shd w:val="clear" w:color="auto" w:fill="000000"/>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8,786</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 associated with acquisitions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21,278</w:t>
            </w:r>
          </w:p>
        </w:tc>
        <w:tc>
          <w:tcPr>
            <w:tcW w:w="20" w:type="dxa"/>
            <w:vAlign w:val="bottom"/>
            <w:tcBorders>
              <w:bottom w:val="single" w:sz="8" w:color="auto"/>
            </w:tcBorders>
            <w:shd w:val="clear" w:color="auto" w:fill="000000"/>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21,278</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Transfer on exercise of options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20" w:type="dxa"/>
            <w:vAlign w:val="bottom"/>
            <w:tcBorders>
              <w:bottom w:val="single" w:sz="8" w:color="auto"/>
            </w:tcBorders>
            <w:shd w:val="clear" w:color="auto" w:fill="000000"/>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26,125</w:t>
            </w:r>
          </w:p>
        </w:tc>
        <w:tc>
          <w:tcPr>
            <w:tcW w:w="20" w:type="dxa"/>
            <w:vAlign w:val="bottom"/>
            <w:tcBorders>
              <w:bottom w:val="single" w:sz="8" w:color="auto"/>
            </w:tcBorders>
            <w:shd w:val="clear" w:color="auto" w:fill="000000"/>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26,125</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at December 31, 2023</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(5,414)</w:t>
            </w:r>
          </w:p>
        </w:tc>
        <w:tc>
          <w:tcPr>
            <w:tcW w:w="2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35,446</w:t>
            </w:r>
          </w:p>
        </w:tc>
        <w:tc>
          <w:tcPr>
            <w:tcW w:w="20" w:type="dxa"/>
            <w:vAlign w:val="bottom"/>
            <w:tcBorders>
              <w:bottom w:val="single" w:sz="8" w:color="auto"/>
            </w:tcBorders>
            <w:shd w:val="clear" w:color="auto" w:fill="000000"/>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29,137</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Share-based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Financial assets at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5160" w:type="dxa"/>
            <w:vAlign w:val="bottom"/>
            <w:tcBorders>
              <w:right w:val="single" w:sz="8" w:color="auto"/>
            </w:tcBorders>
          </w:tcPr>
          <w:p>
            <w:pPr>
              <w:spacing w:after="0"/>
              <w:rPr>
                <w:sz w:val="16"/>
                <w:szCs w:val="16"/>
                <w:color w:val="auto"/>
              </w:rPr>
            </w:pPr>
          </w:p>
        </w:tc>
        <w:tc>
          <w:tcPr>
            <w:tcW w:w="16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5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1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160" w:type="dxa"/>
            <w:vAlign w:val="bottom"/>
            <w:tcBorders>
              <w:right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translation reserve</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payments reserve</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shd w:val="clear" w:color="auto" w:fill="000000"/>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FVOCI reserve</w:t>
            </w: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at January 1, 2022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(1,153)</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5,942</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4,789</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income/(loss)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591</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8,114</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on exercise of options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3,379</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3,379</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at December 31, 2022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9,321</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8,759</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16" w:right="339" w:bottom="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29.4.Share-based payments reserve</w:t>
      </w:r>
    </w:p>
    <w:p>
      <w:pPr>
        <w:sectPr>
          <w:pgSz w:w="11900" w:h="16838" w:orient="portrait"/>
          <w:cols w:equalWidth="0" w:num="1">
            <w:col w:w="11240"/>
          </w:cols>
          <w:pgMar w:left="320" w:top="116" w:right="339" w:bottom="0" w:gutter="0" w:footer="0" w:header="0"/>
          <w:type w:val="continuous"/>
        </w:sectPr>
      </w:pPr>
    </w:p>
    <w:bookmarkStart w:id="302" w:name="page303"/>
    <w:bookmarkEnd w:id="302"/>
    <w:tbl>
      <w:tblPr>
        <w:tblLayout w:type="fixed"/>
        <w:tblInd w:w="0" w:type="dxa"/>
        <w:tblCellMar>
          <w:top w:w="0" w:type="dxa"/>
          <w:left w:w="0" w:type="dxa"/>
          <w:bottom w:w="0" w:type="dxa"/>
          <w:right w:w="0" w:type="dxa"/>
        </w:tblCellMar>
      </w:tblPr>
      <w:tr>
        <w:trPr>
          <w:trHeight w:val="223"/>
        </w:trPr>
        <w:tc>
          <w:tcPr>
            <w:tcW w:w="7200" w:type="dxa"/>
            <w:vAlign w:val="bottom"/>
            <w:tcBorders>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20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’000</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’000</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‘000</w:t>
            </w:r>
          </w:p>
        </w:tc>
      </w:tr>
      <w:tr>
        <w:trPr>
          <w:trHeight w:val="223"/>
        </w:trPr>
        <w:tc>
          <w:tcPr>
            <w:tcW w:w="72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14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14,601</w:t>
            </w:r>
          </w:p>
        </w:tc>
        <w:tc>
          <w:tcPr>
            <w:tcW w:w="13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11,736</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17,148</w:t>
            </w:r>
          </w:p>
        </w:tc>
      </w:tr>
      <w:tr>
        <w:trPr>
          <w:trHeight w:val="223"/>
        </w:trPr>
        <w:tc>
          <w:tcPr>
            <w:tcW w:w="7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EIP options issued</w:t>
            </w:r>
          </w:p>
        </w:tc>
        <w:tc>
          <w:tcPr>
            <w:tcW w:w="14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9,877</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6,689</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4,436</w:t>
            </w:r>
          </w:p>
        </w:tc>
      </w:tr>
      <w:tr>
        <w:trPr>
          <w:trHeight w:val="223"/>
        </w:trPr>
        <w:tc>
          <w:tcPr>
            <w:tcW w:w="7200" w:type="dxa"/>
            <w:vAlign w:val="bottom"/>
            <w:tcBorders>
              <w:bottom w:val="single" w:sz="8" w:color="auto"/>
              <w:right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Performance Rights issued</w:t>
            </w:r>
            <w:r>
              <w:rPr>
                <w:rFonts w:ascii="Times New Roman" w:cs="Times New Roman" w:eastAsia="Times New Roman" w:hAnsi="Times New Roman"/>
                <w:sz w:val="25"/>
                <w:szCs w:val="25"/>
                <w:color w:val="auto"/>
                <w:vertAlign w:val="superscript"/>
              </w:rPr>
              <w:t>1</w:t>
            </w:r>
          </w:p>
        </w:tc>
        <w:tc>
          <w:tcPr>
            <w:tcW w:w="14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4,284</w:t>
            </w:r>
          </w:p>
        </w:tc>
        <w:tc>
          <w:tcPr>
            <w:tcW w:w="13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2,524</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(8,843)</w:t>
            </w:r>
          </w:p>
        </w:tc>
      </w:tr>
      <w:tr>
        <w:trPr>
          <w:trHeight w:val="223"/>
        </w:trPr>
        <w:tc>
          <w:tcPr>
            <w:tcW w:w="72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lapsed</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23"/>
        </w:trPr>
        <w:tc>
          <w:tcPr>
            <w:tcW w:w="7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4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25,522</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14,601</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11,736</w:t>
            </w:r>
          </w:p>
        </w:tc>
      </w:tr>
    </w:tbl>
    <w:p>
      <w:pPr>
        <w:spacing w:after="0" w:line="198" w:lineRule="exact"/>
        <w:rPr>
          <w:sz w:val="20"/>
          <w:szCs w:val="20"/>
          <w:color w:val="auto"/>
        </w:rPr>
      </w:pPr>
    </w:p>
    <w:p>
      <w:pPr>
        <w:ind w:left="20" w:right="4640" w:hanging="12"/>
        <w:spacing w:after="0" w:line="500" w:lineRule="auto"/>
        <w:tabs>
          <w:tab w:leader="none" w:pos="16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acquisition of QSAM in the current period and Lightpoint in the prior year. 29.5. Financial assets at FVOCI reserve</w:t>
      </w:r>
    </w:p>
    <w:p>
      <w:pPr>
        <w:spacing w:after="0" w:line="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group has elected to recognize changes in the fair value of certain investments in equity securities in Other comprehensive income (OCI), as explained in note 16. These changes are accumulated within the FVOCI reserve within equity.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03" w:name="page304"/>
    <w:bookmarkEnd w:id="30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shows how the FVOCI reserve relates to equity securities:</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180" w:type="dxa"/>
            <w:vAlign w:val="bottom"/>
            <w:tcBorders>
              <w:right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61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Revaluation - gross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(5,881)</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30.</w:t>
        <w:tab/>
        <w:t>Share-based payments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Incentive Plan and Options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Equity Incentive Plan (EIP) was established to allow the Board of Telix to make offers to Eligible Employees to acquire securities in the Company and to otherwise incentivize employees. ‘Eligible Employees’ includes full time, part time or casual employees of a Group Company, a Non-Executive Director of a Group Company, a Contractor, or any other person who is declared by the Board to be eligible.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Board may, from time to time and in its absolute discretion, invite Eligible Employees to participate in a grant of Incentive Securities, which may comprise Rights (including Performance Share Appreciation Rights), Options, and/or Restricted Shares. Vesting of Incentive Securities under the EIP is subject to any vesting or performance conditions determined by the Board. Incentive Securities are normally granted under the EIP for no consideration and carry no dividend or voting rights. When exercised, each Incentive Security is convertible into one Share.</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Non-Executive Directors are able to participate in the Equity Incentive Plan, under which equity may be issued subject to Shareholder approval. Options are however normally issued to Non-Executive Directors not as an ‘incentive’ under the EIP but as a means of cost-effective consideration for agreeing to join the Board. The details of Incentive Securities on issue to individual Directors can be found in the Remuneration report for the year ended December 31, 2024. For the purposes of this table and to illustrate the total number of Incentive Securities on issue under the rules of the EIP, all Incentive Securities issued to Non-Executive Directors, Executive Directors, employees and contractors are included.</w:t>
      </w:r>
    </w:p>
    <w:p>
      <w:pPr>
        <w:spacing w:after="0" w:line="18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Incentive Securities contain a cashless exercise clause that allows employees to exercise the securities for an exercise price of $0.00 in exchange for forfeiting a portion of their vested securities.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right w:val="single" w:sz="8" w:color="auto"/>
            </w:tcBorders>
          </w:tcPr>
          <w:p>
            <w:pPr>
              <w:spacing w:after="0"/>
              <w:rPr>
                <w:sz w:val="19"/>
                <w:szCs w:val="19"/>
                <w:color w:val="auto"/>
              </w:rPr>
            </w:pPr>
          </w:p>
        </w:tc>
        <w:tc>
          <w:tcPr>
            <w:tcW w:w="1300" w:type="dxa"/>
            <w:vAlign w:val="bottom"/>
            <w:tcBorders>
              <w:left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2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1300" w:type="dxa"/>
            <w:vAlign w:val="bottom"/>
            <w:tcBorders>
              <w:left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60" w:type="dxa"/>
            <w:vAlign w:val="bottom"/>
            <w:tcBorders>
              <w:bottom w:val="single" w:sz="8" w:color="auto"/>
              <w:right w:val="single" w:sz="8" w:color="auto"/>
            </w:tcBorders>
            <w:gridSpan w:val="2"/>
          </w:tcPr>
          <w:p>
            <w:pPr>
              <w:ind w:left="640"/>
              <w:spacing w:after="0" w:line="216" w:lineRule="exact"/>
              <w:rPr>
                <w:sz w:val="20"/>
                <w:szCs w:val="20"/>
                <w:color w:val="auto"/>
              </w:rPr>
            </w:pPr>
            <w:r>
              <w:rPr>
                <w:rFonts w:ascii="Times New Roman" w:cs="Times New Roman" w:eastAsia="Times New Roman" w:hAnsi="Times New Roman"/>
                <w:sz w:val="16"/>
                <w:szCs w:val="16"/>
                <w:b w:val="1"/>
                <w:bCs w:val="1"/>
                <w:color w:val="auto"/>
              </w:rPr>
              <w:t>WAEP</w:t>
            </w:r>
            <w:r>
              <w:rPr>
                <w:rFonts w:ascii="Times New Roman" w:cs="Times New Roman" w:eastAsia="Times New Roman" w:hAnsi="Times New Roman"/>
                <w:sz w:val="25"/>
                <w:szCs w:val="25"/>
                <w:b w:val="1"/>
                <w:bCs w:val="1"/>
                <w:color w:val="auto"/>
                <w:vertAlign w:val="superscript"/>
              </w:rPr>
              <w:t>1</w:t>
            </w:r>
          </w:p>
        </w:tc>
        <w:tc>
          <w:tcPr>
            <w:tcW w:w="1300" w:type="dxa"/>
            <w:vAlign w:val="bottom"/>
            <w:tcBorders>
              <w:left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1"/>
              <w:spacing w:after="0" w:line="216" w:lineRule="exact"/>
              <w:rPr>
                <w:sz w:val="20"/>
                <w:szCs w:val="20"/>
                <w:color w:val="auto"/>
              </w:rPr>
            </w:pPr>
            <w:r>
              <w:rPr>
                <w:rFonts w:ascii="Times New Roman" w:cs="Times New Roman" w:eastAsia="Times New Roman" w:hAnsi="Times New Roman"/>
                <w:sz w:val="16"/>
                <w:szCs w:val="16"/>
                <w:b w:val="1"/>
                <w:bCs w:val="1"/>
                <w:color w:val="auto"/>
              </w:rPr>
              <w:t>WAEP</w:t>
            </w:r>
            <w:r>
              <w:rPr>
                <w:rFonts w:ascii="Times New Roman" w:cs="Times New Roman" w:eastAsia="Times New Roman" w:hAnsi="Times New Roman"/>
                <w:sz w:val="25"/>
                <w:szCs w:val="25"/>
                <w:b w:val="1"/>
                <w:bCs w:val="1"/>
                <w:color w:val="auto"/>
                <w:vertAlign w:val="superscript"/>
              </w:rPr>
              <w:t>1</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1060" w:type="dxa"/>
            <w:vAlign w:val="bottom"/>
            <w:tcBorders>
              <w:bottom w:val="single" w:sz="8" w:color="auto"/>
              <w:right w:val="single" w:sz="8" w:color="auto"/>
            </w:tcBorders>
            <w:shd w:val="clear" w:color="auto" w:fill="CCEEFF"/>
          </w:tcPr>
          <w:p>
            <w:pPr>
              <w:spacing w:after="0"/>
              <w:rPr>
                <w:sz w:val="19"/>
                <w:szCs w:val="19"/>
                <w:color w:val="auto"/>
              </w:rPr>
            </w:pP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12,077</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5.59</w:t>
            </w:r>
          </w:p>
        </w:tc>
        <w:tc>
          <w:tcPr>
            <w:tcW w:w="4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left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11,736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3.62</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10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9,878</w:t>
            </w:r>
          </w:p>
        </w:tc>
        <w:tc>
          <w:tcPr>
            <w:tcW w:w="1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11.19</w:t>
            </w:r>
          </w:p>
        </w:tc>
        <w:tc>
          <w:tcPr>
            <w:tcW w:w="40" w:type="dxa"/>
            <w:vAlign w:val="bottom"/>
            <w:tcBorders>
              <w:bottom w:val="single" w:sz="8" w:color="auto"/>
              <w:right w:val="single" w:sz="8" w:color="auto"/>
            </w:tcBorders>
          </w:tcPr>
          <w:p>
            <w:pPr>
              <w:spacing w:after="0"/>
              <w:rPr>
                <w:sz w:val="19"/>
                <w:szCs w:val="19"/>
                <w:color w:val="auto"/>
              </w:rPr>
            </w:pPr>
          </w:p>
        </w:tc>
        <w:tc>
          <w:tcPr>
            <w:tcW w:w="1300" w:type="dxa"/>
            <w:vAlign w:val="bottom"/>
            <w:tcBorders>
              <w:left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6,689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060" w:type="dxa"/>
            <w:vAlign w:val="bottom"/>
            <w:tcBorders>
              <w:bottom w:val="single" w:sz="8" w:color="auto"/>
              <w:right w:val="single" w:sz="8" w:color="auto"/>
            </w:tcBorders>
            <w:shd w:val="clear" w:color="auto" w:fill="CCEEFF"/>
          </w:tcPr>
          <w:p>
            <w:pPr>
              <w:spacing w:after="0"/>
              <w:rPr>
                <w:sz w:val="19"/>
                <w:szCs w:val="19"/>
                <w:color w:val="auto"/>
              </w:rPr>
            </w:pPr>
          </w:p>
        </w:tc>
        <w:tc>
          <w:tcPr>
            <w:tcW w:w="14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3.34</w:t>
            </w:r>
          </w:p>
        </w:tc>
        <w:tc>
          <w:tcPr>
            <w:tcW w:w="4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left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Lapsed/forfeited during the year</w:t>
            </w:r>
          </w:p>
        </w:tc>
        <w:tc>
          <w:tcPr>
            <w:tcW w:w="10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(2,621)</w:t>
            </w:r>
          </w:p>
        </w:tc>
        <w:tc>
          <w:tcPr>
            <w:tcW w:w="1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5.88</w:t>
            </w:r>
          </w:p>
        </w:tc>
        <w:tc>
          <w:tcPr>
            <w:tcW w:w="40" w:type="dxa"/>
            <w:vAlign w:val="bottom"/>
            <w:tcBorders>
              <w:bottom w:val="single" w:sz="8" w:color="auto"/>
              <w:right w:val="single" w:sz="8" w:color="auto"/>
            </w:tcBorders>
          </w:tcPr>
          <w:p>
            <w:pPr>
              <w:spacing w:after="0"/>
              <w:rPr>
                <w:sz w:val="19"/>
                <w:szCs w:val="19"/>
                <w:color w:val="auto"/>
              </w:rPr>
            </w:pPr>
          </w:p>
        </w:tc>
        <w:tc>
          <w:tcPr>
            <w:tcW w:w="130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060" w:type="dxa"/>
            <w:vAlign w:val="bottom"/>
            <w:tcBorders>
              <w:bottom w:val="single" w:sz="8" w:color="auto"/>
              <w:right w:val="single" w:sz="8" w:color="auto"/>
            </w:tcBorders>
            <w:shd w:val="clear" w:color="auto" w:fill="CCEEFF"/>
          </w:tcPr>
          <w:p>
            <w:pPr>
              <w:spacing w:after="0"/>
              <w:rPr>
                <w:sz w:val="19"/>
                <w:szCs w:val="19"/>
                <w:color w:val="auto"/>
              </w:rPr>
            </w:pP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18,715</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8.58</w:t>
            </w:r>
          </w:p>
        </w:tc>
        <w:tc>
          <w:tcPr>
            <w:tcW w:w="4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left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12,077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5.59</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Vested and exercisable at December 31,</w:t>
            </w:r>
          </w:p>
        </w:tc>
        <w:tc>
          <w:tcPr>
            <w:tcW w:w="10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754</w:t>
            </w:r>
          </w:p>
        </w:tc>
        <w:tc>
          <w:tcPr>
            <w:tcW w:w="1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4.91</w:t>
            </w:r>
          </w:p>
        </w:tc>
        <w:tc>
          <w:tcPr>
            <w:tcW w:w="40" w:type="dxa"/>
            <w:vAlign w:val="bottom"/>
            <w:tcBorders>
              <w:bottom w:val="single" w:sz="8" w:color="auto"/>
              <w:right w:val="single" w:sz="8" w:color="auto"/>
            </w:tcBorders>
          </w:tcPr>
          <w:p>
            <w:pPr>
              <w:spacing w:after="0"/>
              <w:rPr>
                <w:sz w:val="19"/>
                <w:szCs w:val="19"/>
                <w:color w:val="auto"/>
              </w:rPr>
            </w:pPr>
          </w:p>
        </w:tc>
        <w:tc>
          <w:tcPr>
            <w:tcW w:w="1300" w:type="dxa"/>
            <w:vAlign w:val="bottom"/>
            <w:tcBorders>
              <w:left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2,221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3.73</w:t>
            </w:r>
          </w:p>
        </w:tc>
        <w:tc>
          <w:tcPr>
            <w:tcW w:w="0" w:type="dxa"/>
            <w:vAlign w:val="bottom"/>
          </w:tcPr>
          <w:p>
            <w:pPr>
              <w:spacing w:after="0"/>
              <w:rPr>
                <w:sz w:val="1"/>
                <w:szCs w:val="1"/>
                <w:color w:val="auto"/>
              </w:rPr>
            </w:pPr>
          </w:p>
        </w:tc>
      </w:tr>
      <w:tr>
        <w:trPr>
          <w:trHeight w:val="432"/>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1. WAEP - weighted average exercise price</w:t>
            </w: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Expense arising from share-based payments transactions:</w:t>
            </w: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1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13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A$‘000</w:t>
            </w: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issued under EIP</w:t>
            </w:r>
          </w:p>
        </w:tc>
        <w:tc>
          <w:tcPr>
            <w:tcW w:w="1060" w:type="dxa"/>
            <w:vAlign w:val="bottom"/>
            <w:tcBorders>
              <w:bottom w:val="single" w:sz="8" w:color="auto"/>
              <w:right w:val="single" w:sz="8" w:color="CCEEFF"/>
            </w:tcBorders>
            <w:shd w:val="clear" w:color="auto" w:fill="CCEEFF"/>
          </w:tcPr>
          <w:p>
            <w:pPr>
              <w:spacing w:after="0"/>
              <w:rPr>
                <w:sz w:val="19"/>
                <w:szCs w:val="19"/>
                <w:color w:val="auto"/>
              </w:rPr>
            </w:pP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19,660</w:t>
            </w: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300" w:type="dxa"/>
            <w:vAlign w:val="bottom"/>
            <w:tcBorders>
              <w:left w:val="single" w:sz="8" w:color="CCEEFF"/>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8,786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8,114</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19,660</w:t>
            </w: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8,786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8,114</w:t>
            </w:r>
          </w:p>
        </w:tc>
        <w:tc>
          <w:tcPr>
            <w:tcW w:w="0" w:type="dxa"/>
            <w:vAlign w:val="bottom"/>
          </w:tcPr>
          <w:p>
            <w:pPr>
              <w:spacing w:after="0"/>
              <w:rPr>
                <w:sz w:val="1"/>
                <w:szCs w:val="1"/>
                <w:color w:val="auto"/>
              </w:rPr>
            </w:pPr>
          </w:p>
        </w:tc>
      </w:tr>
      <w:tr>
        <w:trPr>
          <w:trHeight w:val="571"/>
        </w:trPr>
        <w:tc>
          <w:tcPr>
            <w:tcW w:w="4800" w:type="dxa"/>
            <w:vAlign w:val="bottom"/>
          </w:tcPr>
          <w:p>
            <w:pPr>
              <w:spacing w:after="0"/>
              <w:rPr>
                <w:sz w:val="24"/>
                <w:szCs w:val="24"/>
                <w:color w:val="auto"/>
              </w:rPr>
            </w:pPr>
          </w:p>
        </w:tc>
        <w:tc>
          <w:tcPr>
            <w:tcW w:w="2460" w:type="dxa"/>
            <w:vAlign w:val="bottom"/>
            <w:gridSpan w:val="2"/>
          </w:tcPr>
          <w:p>
            <w:pPr>
              <w:jc w:val="right"/>
              <w:ind w:right="1410"/>
              <w:spacing w:after="0"/>
              <w:rPr>
                <w:sz w:val="20"/>
                <w:szCs w:val="20"/>
                <w:color w:val="auto"/>
              </w:rPr>
            </w:pPr>
            <w:r>
              <w:rPr>
                <w:rFonts w:ascii="Times New Roman" w:cs="Times New Roman" w:eastAsia="Times New Roman" w:hAnsi="Times New Roman"/>
                <w:sz w:val="14"/>
                <w:szCs w:val="14"/>
                <w:color w:val="auto"/>
              </w:rPr>
              <w:t>F-58</w:t>
            </w: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8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Incentive Plan and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number of options issued under the EIP outstanding at the end of the year: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 on</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Exercised</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Lapsed</w:t>
            </w: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Options on</w:t>
            </w: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Vesting</w:t>
            </w:r>
          </w:p>
        </w:tc>
        <w:tc>
          <w:tcPr>
            <w:tcW w:w="11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Expiry</w:t>
            </w:r>
          </w:p>
        </w:tc>
        <w:tc>
          <w:tcPr>
            <w:tcW w:w="96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issue at</w:t>
            </w:r>
          </w:p>
        </w:tc>
        <w:tc>
          <w:tcPr>
            <w:tcW w:w="88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3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issue at</w:t>
            </w: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the</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w:t>
            </w:r>
          </w:p>
        </w:tc>
        <w:tc>
          <w:tcPr>
            <w:tcW w:w="1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60" w:type="dxa"/>
            <w:vAlign w:val="bottom"/>
            <w:tcBorders>
              <w:right w:val="single" w:sz="8" w:color="auto"/>
            </w:tcBorders>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160" w:type="dxa"/>
            <w:vAlign w:val="bottom"/>
            <w:tcBorders>
              <w:right w:val="single" w:sz="8" w:color="auto"/>
            </w:tcBorders>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96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88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3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the year</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the year</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year</w:t>
            </w:r>
          </w:p>
        </w:tc>
        <w:tc>
          <w:tcPr>
            <w:tcW w:w="1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1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80" w:type="dxa"/>
            <w:vAlign w:val="bottom"/>
            <w:tcBorders>
              <w:right w:val="single" w:sz="8" w:color="auto"/>
            </w:tcBorders>
            <w:vMerge w:val="continue"/>
          </w:tcPr>
          <w:p>
            <w:pPr>
              <w:spacing w:after="0"/>
              <w:rPr>
                <w:sz w:val="11"/>
                <w:szCs w:val="11"/>
                <w:color w:val="auto"/>
              </w:rPr>
            </w:pPr>
          </w:p>
        </w:tc>
        <w:tc>
          <w:tcPr>
            <w:tcW w:w="920" w:type="dxa"/>
            <w:vAlign w:val="bottom"/>
            <w:tcBorders>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200" w:type="dxa"/>
            <w:vAlign w:val="bottom"/>
            <w:tcBorders>
              <w:right w:val="single" w:sz="8" w:color="auto"/>
            </w:tcBorders>
            <w:vMerge w:val="continue"/>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60" w:type="dxa"/>
            <w:vAlign w:val="bottom"/>
            <w:tcBorders>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’000</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’000</w:t>
            </w: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2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4-Nov-19</w:t>
            </w:r>
          </w:p>
        </w:tc>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4-Nov-22</w:t>
            </w:r>
          </w:p>
        </w:tc>
        <w:tc>
          <w:tcPr>
            <w:tcW w:w="11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3-Nov-23</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13-Jan-20</w:t>
            </w: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13-Jan-23</w:t>
            </w: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12-Jan-24</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1-Jul-20</w:t>
            </w:r>
          </w:p>
        </w:tc>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1-Jul-23</w:t>
            </w:r>
          </w:p>
        </w:tc>
        <w:tc>
          <w:tcPr>
            <w:tcW w:w="11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30-Jun-24</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27-Jan-21</w:t>
            </w: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28-Oct-22</w:t>
            </w: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26-Jan-26</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27-Jul-21</w:t>
            </w:r>
          </w:p>
        </w:tc>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28-Oct-22</w:t>
            </w:r>
          </w:p>
        </w:tc>
        <w:tc>
          <w:tcPr>
            <w:tcW w:w="11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27-Jul-26</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27-Jul-21</w:t>
            </w: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27-Jul-25</w:t>
            </w: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27-Jul-26</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5-Apr-22</w:t>
            </w:r>
          </w:p>
        </w:tc>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31-Dec-24</w:t>
            </w:r>
          </w:p>
        </w:tc>
        <w:tc>
          <w:tcPr>
            <w:tcW w:w="11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4-Apr-27</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5-Apr-22</w:t>
            </w: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31-Dec-24</w:t>
            </w: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4-Apr-27</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24-Oct-22</w:t>
            </w:r>
          </w:p>
        </w:tc>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31-Dec-24</w:t>
            </w:r>
          </w:p>
        </w:tc>
        <w:tc>
          <w:tcPr>
            <w:tcW w:w="11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24-Oct-27</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2-May-23</w:t>
            </w: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31-Dec-25</w:t>
            </w: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27-Mar-28</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6-Jul-23</w:t>
            </w:r>
          </w:p>
        </w:tc>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31-Dec-25</w:t>
            </w:r>
          </w:p>
        </w:tc>
        <w:tc>
          <w:tcPr>
            <w:tcW w:w="11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16-May-28</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31-Mar-25 or</w:t>
            </w:r>
          </w:p>
        </w:tc>
        <w:tc>
          <w:tcPr>
            <w:tcW w:w="116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15-Jun-25, 15-</w:t>
            </w:r>
          </w:p>
        </w:tc>
        <w:tc>
          <w:tcPr>
            <w:tcW w:w="9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6-Jul-23</w:t>
            </w:r>
          </w:p>
        </w:tc>
        <w:tc>
          <w:tcPr>
            <w:tcW w:w="1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31-Dec-25</w:t>
            </w:r>
          </w:p>
        </w:tc>
        <w:tc>
          <w:tcPr>
            <w:tcW w:w="1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Jun-28</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3"/>
        </w:trPr>
        <w:tc>
          <w:tcPr>
            <w:tcW w:w="116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18-Oct-23</w:t>
            </w:r>
          </w:p>
        </w:tc>
        <w:tc>
          <w:tcPr>
            <w:tcW w:w="116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30-Jun-26</w:t>
            </w:r>
          </w:p>
        </w:tc>
        <w:tc>
          <w:tcPr>
            <w:tcW w:w="1160" w:type="dxa"/>
            <w:vAlign w:val="bottom"/>
            <w:tcBorders>
              <w:top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20-Sep-28</w:t>
            </w:r>
          </w:p>
        </w:tc>
        <w:tc>
          <w:tcPr>
            <w:tcW w:w="96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12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8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92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31-Oct-23</w:t>
            </w: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31-Dec-26</w:t>
            </w: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31-Oct-28</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31-Oct-23</w:t>
            </w:r>
          </w:p>
        </w:tc>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31-Dec-27</w:t>
            </w:r>
          </w:p>
        </w:tc>
        <w:tc>
          <w:tcPr>
            <w:tcW w:w="11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31-Oct-29</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30-Nov-23</w:t>
            </w: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30-Jun-26</w:t>
            </w: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14-Nov-28</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8-Mar-24</w:t>
            </w:r>
          </w:p>
        </w:tc>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31-Dec-26</w:t>
            </w:r>
          </w:p>
        </w:tc>
        <w:tc>
          <w:tcPr>
            <w:tcW w:w="11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31-Mar-29</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8-Mar-24</w:t>
            </w: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31-Dec-27</w:t>
            </w: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31-Mar-30</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6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21-Mar-24. 22-</w:t>
            </w:r>
          </w:p>
        </w:tc>
        <w:tc>
          <w:tcPr>
            <w:tcW w:w="116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May-24</w:t>
            </w:r>
          </w:p>
        </w:tc>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31-Mar-27</w:t>
            </w:r>
          </w:p>
        </w:tc>
        <w:tc>
          <w:tcPr>
            <w:tcW w:w="11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31-Mar-29</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26-Apr-24</w:t>
            </w: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31-Mar-27</w:t>
            </w: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31-Mar-29</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26-Aug-24</w:t>
            </w:r>
          </w:p>
        </w:tc>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1-Apr-25</w:t>
            </w:r>
          </w:p>
        </w:tc>
        <w:tc>
          <w:tcPr>
            <w:tcW w:w="11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4-Apr-25</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26-Aug-24</w:t>
            </w: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1-Apr-25</w:t>
            </w: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31-Mar-27</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26-Aug-24</w:t>
            </w:r>
          </w:p>
        </w:tc>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31-Mar-27</w:t>
            </w:r>
          </w:p>
        </w:tc>
        <w:tc>
          <w:tcPr>
            <w:tcW w:w="11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4-Apr-27</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26-Aug-24</w:t>
            </w: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31-Mar-27</w:t>
            </w: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31-Mar-29</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26-Aug-24</w:t>
            </w:r>
          </w:p>
        </w:tc>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31-Mar-28</w:t>
            </w:r>
          </w:p>
        </w:tc>
        <w:tc>
          <w:tcPr>
            <w:tcW w:w="11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4-Apr-28</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26-Aug-24</w:t>
            </w: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31-Mar-28</w:t>
            </w: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31-Mar-30</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19-Sep-24</w:t>
            </w:r>
          </w:p>
        </w:tc>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31-Mar-28</w:t>
            </w:r>
          </w:p>
        </w:tc>
        <w:tc>
          <w:tcPr>
            <w:tcW w:w="11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31-Mar-29</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19-Sep-24</w:t>
            </w: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31-Mar-28</w:t>
            </w: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31-Mar-30</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17-Oct-24</w:t>
            </w:r>
          </w:p>
        </w:tc>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1-Nov-27</w:t>
            </w:r>
          </w:p>
        </w:tc>
        <w:tc>
          <w:tcPr>
            <w:tcW w:w="11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1-Nov-29</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17-Oct-24</w:t>
            </w: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1-Nov-28</w:t>
            </w: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1-Nov-30</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12,077</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9,878</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assessed fair value of recent tranches of options granted are outlined below. The fair value at grant date is independently determined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 Scholes Model. The model inputs for options granted during the year ended December 31, 2024 and December 31, 2023 are included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Mar-24</w:t>
            </w:r>
          </w:p>
        </w:tc>
        <w:tc>
          <w:tcPr>
            <w:tcW w:w="1100" w:type="dxa"/>
            <w:vAlign w:val="bottom"/>
            <w:tcBorders>
              <w:right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Mar-24</w:t>
            </w:r>
          </w:p>
        </w:tc>
        <w:tc>
          <w:tcPr>
            <w:tcW w:w="14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21-Mar-24,</w:t>
            </w:r>
          </w:p>
        </w:tc>
        <w:tc>
          <w:tcPr>
            <w:tcW w:w="112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Apr-24</w:t>
            </w:r>
          </w:p>
        </w:tc>
        <w:tc>
          <w:tcPr>
            <w:tcW w:w="1140" w:type="dxa"/>
            <w:vAlign w:val="bottom"/>
            <w:tcBorders>
              <w:right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Aug-24</w:t>
            </w:r>
          </w:p>
        </w:tc>
        <w:tc>
          <w:tcPr>
            <w:tcW w:w="212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Sep-24</w:t>
            </w:r>
          </w:p>
        </w:tc>
        <w:tc>
          <w:tcPr>
            <w:tcW w:w="19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Oct-24</w:t>
            </w:r>
          </w:p>
        </w:tc>
        <w:tc>
          <w:tcPr>
            <w:tcW w:w="0" w:type="dxa"/>
            <w:vAlign w:val="bottom"/>
          </w:tcPr>
          <w:p>
            <w:pPr>
              <w:spacing w:after="0"/>
              <w:rPr>
                <w:sz w:val="1"/>
                <w:szCs w:val="1"/>
                <w:color w:val="auto"/>
              </w:rPr>
            </w:pPr>
          </w:p>
        </w:tc>
      </w:tr>
      <w:tr>
        <w:trPr>
          <w:trHeight w:val="130"/>
        </w:trPr>
        <w:tc>
          <w:tcPr>
            <w:tcW w:w="130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22-May-24</w:t>
            </w:r>
          </w:p>
        </w:tc>
        <w:tc>
          <w:tcPr>
            <w:tcW w:w="1120" w:type="dxa"/>
            <w:vAlign w:val="bottom"/>
            <w:tcBorders>
              <w:right w:val="single" w:sz="8" w:color="auto"/>
            </w:tcBorders>
            <w:vMerge w:val="continue"/>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2120" w:type="dxa"/>
            <w:vAlign w:val="bottom"/>
            <w:tcBorders>
              <w:right w:val="single" w:sz="8" w:color="auto"/>
            </w:tcBorders>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30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30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w:t>
            </w:r>
          </w:p>
        </w:tc>
        <w:tc>
          <w:tcPr>
            <w:tcW w:w="108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1480" w:type="dxa"/>
            <w:vAlign w:val="bottom"/>
            <w:tcBorders>
              <w:right w:val="single" w:sz="8" w:color="auto"/>
            </w:tcBorders>
            <w:shd w:val="clear" w:color="auto" w:fill="CCEEFF"/>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A$7.59 and</w:t>
            </w:r>
          </w:p>
        </w:tc>
        <w:tc>
          <w:tcPr>
            <w:tcW w:w="1120" w:type="dxa"/>
            <w:vAlign w:val="bottom"/>
            <w:tcBorders>
              <w:right w:val="single" w:sz="8" w:color="auto"/>
            </w:tcBorders>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2120" w:type="dxa"/>
            <w:vAlign w:val="bottom"/>
            <w:tcBorders>
              <w:right w:val="single" w:sz="8" w:color="auto"/>
            </w:tcBorders>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300" w:type="dxa"/>
            <w:vAlign w:val="bottom"/>
            <w:tcBorders>
              <w:bottom w:val="single" w:sz="8" w:color="auto"/>
              <w:right w:val="single" w:sz="8" w:color="auto"/>
            </w:tcBorders>
            <w:shd w:val="clear" w:color="auto" w:fill="CCEEFF"/>
          </w:tcPr>
          <w:p>
            <w:pPr>
              <w:spacing w:after="0"/>
              <w:rPr>
                <w:sz w:val="20"/>
                <w:szCs w:val="20"/>
                <w:color w:val="auto"/>
              </w:rPr>
            </w:pPr>
          </w:p>
        </w:tc>
        <w:tc>
          <w:tcPr>
            <w:tcW w:w="108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A$11.70</w:t>
            </w:r>
          </w:p>
        </w:tc>
        <w:tc>
          <w:tcPr>
            <w:tcW w:w="110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A$11.70</w:t>
            </w:r>
          </w:p>
        </w:tc>
        <w:tc>
          <w:tcPr>
            <w:tcW w:w="148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A$8.57</w:t>
            </w:r>
          </w:p>
        </w:tc>
        <w:tc>
          <w:tcPr>
            <w:tcW w:w="112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A$14.91</w:t>
            </w:r>
          </w:p>
        </w:tc>
        <w:tc>
          <w:tcPr>
            <w:tcW w:w="114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A$19.86</w:t>
            </w:r>
          </w:p>
        </w:tc>
        <w:tc>
          <w:tcPr>
            <w:tcW w:w="212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A$9.22</w:t>
            </w:r>
          </w:p>
        </w:tc>
        <w:tc>
          <w:tcPr>
            <w:tcW w:w="1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A$21.00</w:t>
            </w:r>
          </w:p>
        </w:tc>
        <w:tc>
          <w:tcPr>
            <w:tcW w:w="0" w:type="dxa"/>
            <w:vAlign w:val="bottom"/>
          </w:tcPr>
          <w:p>
            <w:pPr>
              <w:spacing w:after="0"/>
              <w:rPr>
                <w:sz w:val="1"/>
                <w:szCs w:val="1"/>
                <w:color w:val="auto"/>
              </w:rPr>
            </w:pPr>
          </w:p>
        </w:tc>
      </w:tr>
      <w:tr>
        <w:trPr>
          <w:trHeight w:val="223"/>
        </w:trPr>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108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A$NIL</w:t>
            </w:r>
          </w:p>
        </w:tc>
        <w:tc>
          <w:tcPr>
            <w:tcW w:w="110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A$NIL</w:t>
            </w:r>
          </w:p>
        </w:tc>
        <w:tc>
          <w:tcPr>
            <w:tcW w:w="148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A$NIL</w:t>
            </w:r>
          </w:p>
        </w:tc>
        <w:tc>
          <w:tcPr>
            <w:tcW w:w="112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A$NIL</w:t>
            </w:r>
          </w:p>
        </w:tc>
        <w:tc>
          <w:tcPr>
            <w:tcW w:w="114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A$NIL</w:t>
            </w:r>
          </w:p>
        </w:tc>
        <w:tc>
          <w:tcPr>
            <w:tcW w:w="2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A$NIL</w:t>
            </w:r>
          </w:p>
        </w:tc>
        <w:tc>
          <w:tcPr>
            <w:tcW w:w="1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A$NIL</w:t>
            </w:r>
          </w:p>
        </w:tc>
        <w:tc>
          <w:tcPr>
            <w:tcW w:w="0" w:type="dxa"/>
            <w:vAlign w:val="bottom"/>
          </w:tcPr>
          <w:p>
            <w:pPr>
              <w:spacing w:after="0"/>
              <w:rPr>
                <w:sz w:val="1"/>
                <w:szCs w:val="1"/>
                <w:color w:val="auto"/>
              </w:rPr>
            </w:pPr>
          </w:p>
        </w:tc>
      </w:tr>
      <w:tr>
        <w:trPr>
          <w:trHeight w:val="223"/>
        </w:trPr>
        <w:tc>
          <w:tcPr>
            <w:tcW w:w="13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08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A$0.00</w:t>
            </w:r>
          </w:p>
        </w:tc>
        <w:tc>
          <w:tcPr>
            <w:tcW w:w="110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A$0.00</w:t>
            </w:r>
          </w:p>
        </w:tc>
        <w:tc>
          <w:tcPr>
            <w:tcW w:w="148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A$11.94</w:t>
            </w:r>
          </w:p>
        </w:tc>
        <w:tc>
          <w:tcPr>
            <w:tcW w:w="112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A$0.00</w:t>
            </w:r>
          </w:p>
        </w:tc>
        <w:tc>
          <w:tcPr>
            <w:tcW w:w="114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A$0.00</w:t>
            </w:r>
          </w:p>
        </w:tc>
        <w:tc>
          <w:tcPr>
            <w:tcW w:w="212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A$18.45</w:t>
            </w:r>
          </w:p>
        </w:tc>
        <w:tc>
          <w:tcPr>
            <w:tcW w:w="1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A$0.00</w:t>
            </w:r>
          </w:p>
        </w:tc>
        <w:tc>
          <w:tcPr>
            <w:tcW w:w="0" w:type="dxa"/>
            <w:vAlign w:val="bottom"/>
          </w:tcPr>
          <w:p>
            <w:pPr>
              <w:spacing w:after="0"/>
              <w:rPr>
                <w:sz w:val="1"/>
                <w:szCs w:val="1"/>
                <w:color w:val="auto"/>
              </w:rPr>
            </w:pPr>
          </w:p>
        </w:tc>
      </w:tr>
      <w:tr>
        <w:trPr>
          <w:trHeight w:val="198"/>
        </w:trPr>
        <w:tc>
          <w:tcPr>
            <w:tcW w:w="130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Grant date</w:t>
            </w:r>
          </w:p>
        </w:tc>
        <w:tc>
          <w:tcPr>
            <w:tcW w:w="1080" w:type="dxa"/>
            <w:vAlign w:val="bottom"/>
            <w:tcBorders>
              <w:right w:val="single" w:sz="8" w:color="auto"/>
            </w:tcBorders>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8-Mar-24</w:t>
            </w:r>
          </w:p>
        </w:tc>
        <w:tc>
          <w:tcPr>
            <w:tcW w:w="1100" w:type="dxa"/>
            <w:vAlign w:val="bottom"/>
            <w:tcBorders>
              <w:right w:val="single" w:sz="8" w:color="auto"/>
            </w:tcBorders>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8-Mar-24</w:t>
            </w:r>
          </w:p>
        </w:tc>
        <w:tc>
          <w:tcPr>
            <w:tcW w:w="1480" w:type="dxa"/>
            <w:vAlign w:val="bottom"/>
            <w:tcBorders>
              <w:right w:val="single" w:sz="8" w:color="auto"/>
            </w:tcBorders>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21-Mar-24, 22-</w:t>
            </w:r>
          </w:p>
        </w:tc>
        <w:tc>
          <w:tcPr>
            <w:tcW w:w="1120" w:type="dxa"/>
            <w:vAlign w:val="bottom"/>
            <w:tcBorders>
              <w:right w:val="single" w:sz="8" w:color="auto"/>
            </w:tcBorders>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26-Apr-24</w:t>
            </w:r>
          </w:p>
        </w:tc>
        <w:tc>
          <w:tcPr>
            <w:tcW w:w="1140" w:type="dxa"/>
            <w:vAlign w:val="bottom"/>
            <w:tcBorders>
              <w:right w:val="single" w:sz="8" w:color="auto"/>
            </w:tcBorders>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26-Aug-24</w:t>
            </w:r>
          </w:p>
        </w:tc>
        <w:tc>
          <w:tcPr>
            <w:tcW w:w="2120" w:type="dxa"/>
            <w:vAlign w:val="bottom"/>
            <w:tcBorders>
              <w:right w:val="single" w:sz="8" w:color="auto"/>
            </w:tcBorders>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19-Sep-24</w:t>
            </w:r>
          </w:p>
        </w:tc>
        <w:tc>
          <w:tcPr>
            <w:tcW w:w="190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17-Oct-24</w:t>
            </w:r>
          </w:p>
        </w:tc>
        <w:tc>
          <w:tcPr>
            <w:tcW w:w="0" w:type="dxa"/>
            <w:vAlign w:val="bottom"/>
          </w:tcPr>
          <w:p>
            <w:pPr>
              <w:spacing w:after="0"/>
              <w:rPr>
                <w:sz w:val="1"/>
                <w:szCs w:val="1"/>
                <w:color w:val="auto"/>
              </w:rPr>
            </w:pPr>
          </w:p>
        </w:tc>
      </w:tr>
      <w:tr>
        <w:trPr>
          <w:trHeight w:val="241"/>
        </w:trPr>
        <w:tc>
          <w:tcPr>
            <w:tcW w:w="13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May-24</w:t>
            </w:r>
          </w:p>
        </w:tc>
        <w:tc>
          <w:tcPr>
            <w:tcW w:w="1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Expiry date</w:t>
            </w:r>
          </w:p>
        </w:tc>
        <w:tc>
          <w:tcPr>
            <w:tcW w:w="108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31-Mar-29</w:t>
            </w:r>
          </w:p>
        </w:tc>
        <w:tc>
          <w:tcPr>
            <w:tcW w:w="110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31-Mar-30</w:t>
            </w:r>
          </w:p>
        </w:tc>
        <w:tc>
          <w:tcPr>
            <w:tcW w:w="148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31-Mar-29</w:t>
            </w:r>
          </w:p>
        </w:tc>
        <w:tc>
          <w:tcPr>
            <w:tcW w:w="112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31-Mar-29</w:t>
            </w:r>
          </w:p>
        </w:tc>
        <w:tc>
          <w:tcPr>
            <w:tcW w:w="114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Various</w:t>
            </w:r>
          </w:p>
        </w:tc>
        <w:tc>
          <w:tcPr>
            <w:tcW w:w="212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31-Mar-29 &amp; 31-Mar-30</w:t>
            </w:r>
          </w:p>
        </w:tc>
        <w:tc>
          <w:tcPr>
            <w:tcW w:w="1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1-Nov-29 &amp; 1-Nov-30</w:t>
            </w:r>
          </w:p>
        </w:tc>
        <w:tc>
          <w:tcPr>
            <w:tcW w:w="0" w:type="dxa"/>
            <w:vAlign w:val="bottom"/>
          </w:tcPr>
          <w:p>
            <w:pPr>
              <w:spacing w:after="0"/>
              <w:rPr>
                <w:sz w:val="1"/>
                <w:szCs w:val="1"/>
                <w:color w:val="auto"/>
              </w:rPr>
            </w:pPr>
          </w:p>
        </w:tc>
      </w:tr>
      <w:tr>
        <w:trPr>
          <w:trHeight w:val="223"/>
        </w:trPr>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w:t>
            </w:r>
          </w:p>
        </w:tc>
        <w:tc>
          <w:tcPr>
            <w:tcW w:w="108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 years</w:t>
            </w:r>
          </w:p>
        </w:tc>
        <w:tc>
          <w:tcPr>
            <w:tcW w:w="110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 years</w:t>
            </w:r>
          </w:p>
        </w:tc>
        <w:tc>
          <w:tcPr>
            <w:tcW w:w="148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 years</w:t>
            </w:r>
          </w:p>
        </w:tc>
        <w:tc>
          <w:tcPr>
            <w:tcW w:w="112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 years</w:t>
            </w:r>
          </w:p>
        </w:tc>
        <w:tc>
          <w:tcPr>
            <w:tcW w:w="114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1 - 8 years</w:t>
            </w:r>
          </w:p>
        </w:tc>
        <w:tc>
          <w:tcPr>
            <w:tcW w:w="2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 years</w:t>
            </w:r>
          </w:p>
        </w:tc>
        <w:tc>
          <w:tcPr>
            <w:tcW w:w="1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 &amp; 4 Years</w:t>
            </w:r>
          </w:p>
        </w:tc>
        <w:tc>
          <w:tcPr>
            <w:tcW w:w="0" w:type="dxa"/>
            <w:vAlign w:val="bottom"/>
          </w:tcPr>
          <w:p>
            <w:pPr>
              <w:spacing w:after="0"/>
              <w:rPr>
                <w:sz w:val="1"/>
                <w:szCs w:val="1"/>
                <w:color w:val="auto"/>
              </w:rPr>
            </w:pPr>
          </w:p>
        </w:tc>
      </w:tr>
      <w:tr>
        <w:trPr>
          <w:trHeight w:val="198"/>
        </w:trPr>
        <w:tc>
          <w:tcPr>
            <w:tcW w:w="130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price at</w:t>
            </w:r>
          </w:p>
        </w:tc>
        <w:tc>
          <w:tcPr>
            <w:tcW w:w="108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1480" w:type="dxa"/>
            <w:vAlign w:val="bottom"/>
            <w:tcBorders>
              <w:right w:val="single" w:sz="8" w:color="auto"/>
            </w:tcBorders>
            <w:shd w:val="clear" w:color="auto" w:fill="CCEEFF"/>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A$ 13.27 and</w:t>
            </w:r>
          </w:p>
        </w:tc>
        <w:tc>
          <w:tcPr>
            <w:tcW w:w="1120" w:type="dxa"/>
            <w:vAlign w:val="bottom"/>
            <w:tcBorders>
              <w:right w:val="single" w:sz="8" w:color="auto"/>
            </w:tcBorders>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2120" w:type="dxa"/>
            <w:vAlign w:val="bottom"/>
            <w:tcBorders>
              <w:right w:val="single" w:sz="8" w:color="auto"/>
            </w:tcBorders>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3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date</w:t>
            </w:r>
          </w:p>
        </w:tc>
        <w:tc>
          <w:tcPr>
            <w:tcW w:w="108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A$11.70</w:t>
            </w:r>
          </w:p>
        </w:tc>
        <w:tc>
          <w:tcPr>
            <w:tcW w:w="110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A$11.70</w:t>
            </w:r>
          </w:p>
        </w:tc>
        <w:tc>
          <w:tcPr>
            <w:tcW w:w="148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A$15.78</w:t>
            </w:r>
          </w:p>
        </w:tc>
        <w:tc>
          <w:tcPr>
            <w:tcW w:w="112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A$14.91</w:t>
            </w:r>
          </w:p>
        </w:tc>
        <w:tc>
          <w:tcPr>
            <w:tcW w:w="114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A$19.86</w:t>
            </w:r>
          </w:p>
        </w:tc>
        <w:tc>
          <w:tcPr>
            <w:tcW w:w="212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A$18.76</w:t>
            </w:r>
          </w:p>
        </w:tc>
        <w:tc>
          <w:tcPr>
            <w:tcW w:w="1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A$21.00</w:t>
            </w:r>
          </w:p>
        </w:tc>
        <w:tc>
          <w:tcPr>
            <w:tcW w:w="0" w:type="dxa"/>
            <w:vAlign w:val="bottom"/>
          </w:tcPr>
          <w:p>
            <w:pPr>
              <w:spacing w:after="0"/>
              <w:rPr>
                <w:sz w:val="1"/>
                <w:szCs w:val="1"/>
                <w:color w:val="auto"/>
              </w:rPr>
            </w:pPr>
          </w:p>
        </w:tc>
      </w:tr>
      <w:tr>
        <w:trPr>
          <w:trHeight w:val="223"/>
        </w:trPr>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13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3"/>
        </w:trPr>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 and 3.98%</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November 2024, an additional grant of options was made to all PSARs recipients to align to the approach adopted for stretch PSARs issued to the MD &amp; CEO (granting at 150% of target). All performance and vesting conditions remain the same as the original offer and continue to apply.</w:t>
      </w:r>
    </w:p>
    <w:p>
      <w:pPr>
        <w:spacing w:after="0" w:line="158" w:lineRule="exact"/>
        <w:rPr>
          <w:sz w:val="20"/>
          <w:szCs w:val="20"/>
          <w:color w:val="auto"/>
        </w:rPr>
      </w:pPr>
    </w:p>
    <w:p>
      <w:pPr>
        <w:ind w:left="380" w:hanging="372"/>
        <w:spacing w:after="0"/>
        <w:tabs>
          <w:tab w:leader="none" w:pos="380"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Cash flow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31.1.Reconciliation of profit/(loss) after income tax to net cash from/(used in) operating activities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20" w:type="dxa"/>
            <w:vAlign w:val="bottom"/>
            <w:tcBorders>
              <w:bottom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020" w:type="dxa"/>
            <w:vAlign w:val="bottom"/>
            <w:tcBorders>
              <w:bottom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r>
      <w:tr>
        <w:trPr>
          <w:trHeight w:val="223"/>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Profit/(loss) before income tax</w:t>
            </w:r>
          </w:p>
        </w:tc>
        <w:tc>
          <w:tcPr>
            <w:tcW w:w="218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56,056</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3,087</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(98,622)</w:t>
            </w:r>
          </w:p>
        </w:tc>
      </w:tr>
      <w:tr>
        <w:trPr>
          <w:trHeight w:val="223"/>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Adjustments for</w:t>
            </w:r>
          </w:p>
        </w:tc>
        <w:tc>
          <w:tcPr>
            <w:tcW w:w="21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23"/>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8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8,018</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6,743</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5,379</w:t>
            </w:r>
          </w:p>
        </w:tc>
      </w:tr>
      <w:tr>
        <w:trPr>
          <w:trHeight w:val="223"/>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Impairment/(reversal of impairment) of intangible assets</w:t>
            </w:r>
          </w:p>
        </w:tc>
        <w:tc>
          <w:tcPr>
            <w:tcW w:w="21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804</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remeasurement of contingent consideration</w:t>
            </w:r>
          </w:p>
        </w:tc>
        <w:tc>
          <w:tcPr>
            <w:tcW w:w="218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11,062</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34,275</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16,707</w:t>
            </w:r>
          </w:p>
        </w:tc>
      </w:tr>
      <w:tr>
        <w:trPr>
          <w:trHeight w:val="223"/>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Fair value remeasurement of provisions</w:t>
            </w:r>
          </w:p>
        </w:tc>
        <w:tc>
          <w:tcPr>
            <w:tcW w:w="21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730</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1,017</w:t>
            </w:r>
          </w:p>
        </w:tc>
      </w:tr>
      <w:tr>
        <w:trPr>
          <w:trHeight w:val="223"/>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Unwind of discount</w:t>
            </w:r>
          </w:p>
        </w:tc>
        <w:tc>
          <w:tcPr>
            <w:tcW w:w="218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37,398</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12,782</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6,287</w:t>
            </w:r>
          </w:p>
        </w:tc>
      </w:tr>
      <w:tr>
        <w:trPr>
          <w:trHeight w:val="223"/>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21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19,660</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8,786</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8,114</w:t>
            </w:r>
          </w:p>
        </w:tc>
      </w:tr>
      <w:tr>
        <w:trPr>
          <w:trHeight w:val="223"/>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218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(17,317)</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2,124</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w:t>
            </w:r>
          </w:p>
        </w:tc>
      </w:tr>
      <w:tr>
        <w:trPr>
          <w:trHeight w:val="223"/>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1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3"/>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218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r>
      <w:tr>
        <w:trPr>
          <w:trHeight w:val="223"/>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Change in assets and liabilities</w:t>
            </w:r>
          </w:p>
        </w:tc>
        <w:tc>
          <w:tcPr>
            <w:tcW w:w="21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23"/>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trade and other receivables</w:t>
            </w:r>
          </w:p>
        </w:tc>
        <w:tc>
          <w:tcPr>
            <w:tcW w:w="218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(57,080)</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(19,934)</w:t>
            </w:r>
          </w:p>
        </w:tc>
      </w:tr>
      <w:tr>
        <w:trPr>
          <w:trHeight w:val="223"/>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(Increase) in inventory</w:t>
            </w:r>
          </w:p>
        </w:tc>
        <w:tc>
          <w:tcPr>
            <w:tcW w:w="21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(5,023)</w:t>
            </w:r>
          </w:p>
        </w:tc>
      </w:tr>
      <w:tr>
        <w:trPr>
          <w:trHeight w:val="223"/>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 in other current assets</w:t>
            </w:r>
          </w:p>
        </w:tc>
        <w:tc>
          <w:tcPr>
            <w:tcW w:w="218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(10,864)</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w:t>
            </w:r>
          </w:p>
        </w:tc>
      </w:tr>
      <w:tr>
        <w:trPr>
          <w:trHeight w:val="223"/>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(Increase) in other non-current assets</w:t>
            </w:r>
          </w:p>
        </w:tc>
        <w:tc>
          <w:tcPr>
            <w:tcW w:w="21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555</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trade creditors</w:t>
            </w:r>
          </w:p>
        </w:tc>
        <w:tc>
          <w:tcPr>
            <w:tcW w:w="218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43,904</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33,704</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30,451</w:t>
            </w:r>
          </w:p>
        </w:tc>
      </w:tr>
      <w:tr>
        <w:trPr>
          <w:trHeight w:val="223"/>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Deduct trade and other payables capitalized to intangible assets</w:t>
            </w:r>
          </w:p>
        </w:tc>
        <w:tc>
          <w:tcPr>
            <w:tcW w:w="21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payments classified as operating</w:t>
            </w:r>
          </w:p>
        </w:tc>
        <w:tc>
          <w:tcPr>
            <w:tcW w:w="218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(35,886)</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(16,282)</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Increase in employee benefit obligations</w:t>
            </w:r>
          </w:p>
        </w:tc>
        <w:tc>
          <w:tcPr>
            <w:tcW w:w="21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8,498</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6,476</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2,870</w:t>
            </w:r>
          </w:p>
        </w:tc>
      </w:tr>
      <w:tr>
        <w:trPr>
          <w:trHeight w:val="223"/>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provisions</w:t>
            </w:r>
          </w:p>
        </w:tc>
        <w:tc>
          <w:tcPr>
            <w:tcW w:w="218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(Decrease) in contract liabilities</w:t>
            </w:r>
          </w:p>
        </w:tc>
        <w:tc>
          <w:tcPr>
            <w:tcW w:w="21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w:t>
            </w:r>
          </w:p>
        </w:tc>
      </w:tr>
      <w:tr>
        <w:trPr>
          <w:trHeight w:val="223"/>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from/(used in) operating activities</w:t>
            </w:r>
          </w:p>
        </w:tc>
        <w:tc>
          <w:tcPr>
            <w:tcW w:w="218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43,029</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23,884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(63,970)</w:t>
            </w:r>
          </w:p>
        </w:tc>
      </w:tr>
      <w:tr>
        <w:trPr>
          <w:trHeight w:val="570"/>
        </w:trPr>
        <w:tc>
          <w:tcPr>
            <w:tcW w:w="5020" w:type="dxa"/>
            <w:vAlign w:val="bottom"/>
          </w:tcPr>
          <w:p>
            <w:pPr>
              <w:spacing w:after="0"/>
              <w:rPr>
                <w:sz w:val="24"/>
                <w:szCs w:val="24"/>
                <w:color w:val="auto"/>
              </w:rPr>
            </w:pPr>
          </w:p>
        </w:tc>
        <w:tc>
          <w:tcPr>
            <w:tcW w:w="3560" w:type="dxa"/>
            <w:vAlign w:val="bottom"/>
            <w:gridSpan w:val="2"/>
          </w:tcPr>
          <w:p>
            <w:pPr>
              <w:jc w:val="right"/>
              <w:ind w:right="2730"/>
              <w:spacing w:after="0"/>
              <w:rPr>
                <w:sz w:val="20"/>
                <w:szCs w:val="20"/>
                <w:color w:val="auto"/>
              </w:rPr>
            </w:pPr>
            <w:r>
              <w:rPr>
                <w:rFonts w:ascii="Times New Roman" w:cs="Times New Roman" w:eastAsia="Times New Roman" w:hAnsi="Times New Roman"/>
                <w:sz w:val="14"/>
                <w:szCs w:val="14"/>
                <w:color w:val="auto"/>
              </w:rPr>
              <w:t>F-60</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4"/>
        </w:trPr>
        <w:tc>
          <w:tcPr>
            <w:tcW w:w="502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Financial risk management</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Group’s activities expose it to a variety of financial risks: market risk, credit risk and liquidity risk. The overall risk management program focuses on the unpredictability of markets and seeks to minimize potential adverse effects on the financial performance of the Group. The Group uses different methods to measure different types of risk to which it is exposed.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32.1.Interest rate risk</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Group’s borrowings that have been drawn down at December 31, 2024 have fixed interest rates, and therefore the Group is not exposed to any significant interest rate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32.2.Price risk</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Group's exposure to equity securities price risk arises from investments held by the Group and classified in the consolidated statement of financial position at fair value through other comprehensive income (FVOCI) (note 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recognized in other comprehensive income in relation to investments held by the Group are disclosed in note 29.5.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32.3.Foreign currency risk</w:t>
      </w:r>
    </w:p>
    <w:p>
      <w:pPr>
        <w:spacing w:after="0" w:line="22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Group operates internationally and is exposed to foreign exchange risk, primarily the US dollar and Euro. Foreign exchange risk arises from commercial activities in the United States and research and development activities in Europe and the United States.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Group’s treasury risk management policy is to settle all US dollar denominated expenditure with US dollar denominated receipts from sales of Illuccix in the United States. The Group also manages currency risk by making decisions as to the levels of cash to hold in each currency by assessing its future activities which will likely be incurred in those currencies. Any remaining foreign currency exposure has therefore not been hedged.</w:t>
      </w:r>
    </w:p>
    <w:p>
      <w:pPr>
        <w:spacing w:after="0" w:line="17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have both foreign currency receivables and payables, predominantly denominated in US dollar and Euro. We had a surplus of foreign currency receivables and financial assets over payables of A$80.3 million as of December 31, 2024 (December 31, 2023: A$16.9 million).</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Group’s exposure to the risk of changes in foreign exchange rates also relates to the Group’s net investments in foreign subsidiaries, which predominantly include denominations in Euro and US dollar, however given the level of current investments in foreign subsidiaries, the impact is limited.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December 31, 2024, the Group held 32.0% (2023: 47.5%) of its cash in Australian dollars, 64.8% (2023: 49.2%) in US dollars, 2.8%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in Euros (EUR), 0.0% (2023: 0.1%) in Japanese Yen (JPY), 0.1% (2023: 0.0%) in British pounds, 0.1% (2023: 0.0%) in Canadian dollars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(2023: 0.1%) in Swiss Francs (CHF).</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held at December 31, 2024 that give rise to currency risk exposure are presented in Australian dollars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As at December 31, 2024</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4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USD</w:t>
            </w:r>
          </w:p>
        </w:tc>
        <w:tc>
          <w:tcPr>
            <w:tcW w:w="20" w:type="dxa"/>
            <w:vAlign w:val="bottom"/>
          </w:tcPr>
          <w:p>
            <w:pPr>
              <w:spacing w:after="0"/>
              <w:rPr>
                <w:sz w:val="18"/>
                <w:szCs w:val="18"/>
                <w:color w:val="auto"/>
              </w:rPr>
            </w:pPr>
          </w:p>
        </w:tc>
        <w:tc>
          <w:tcPr>
            <w:tcW w:w="1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AUD</w:t>
            </w:r>
          </w:p>
        </w:tc>
        <w:tc>
          <w:tcPr>
            <w:tcW w:w="40" w:type="dxa"/>
            <w:vAlign w:val="bottom"/>
          </w:tcPr>
          <w:p>
            <w:pPr>
              <w:spacing w:after="0"/>
              <w:rPr>
                <w:sz w:val="18"/>
                <w:szCs w:val="18"/>
                <w:color w:val="auto"/>
              </w:rPr>
            </w:pPr>
          </w:p>
        </w:tc>
        <w:tc>
          <w:tcPr>
            <w:tcW w:w="136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EUR</w:t>
            </w:r>
          </w:p>
        </w:tc>
        <w:tc>
          <w:tcPr>
            <w:tcW w:w="20" w:type="dxa"/>
            <w:vAlign w:val="bottom"/>
          </w:tcPr>
          <w:p>
            <w:pPr>
              <w:spacing w:after="0"/>
              <w:rPr>
                <w:sz w:val="18"/>
                <w:szCs w:val="18"/>
                <w:color w:val="auto"/>
              </w:rPr>
            </w:pPr>
          </w:p>
        </w:tc>
        <w:tc>
          <w:tcPr>
            <w:tcW w:w="740" w:type="dxa"/>
            <w:vAlign w:val="bottom"/>
            <w:vMerge w:val="restart"/>
          </w:tcPr>
          <w:p>
            <w:pPr>
              <w:spacing w:after="0"/>
              <w:rPr>
                <w:sz w:val="18"/>
                <w:szCs w:val="18"/>
                <w:color w:val="auto"/>
              </w:rPr>
            </w:pP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CHF</w:t>
            </w:r>
          </w:p>
        </w:tc>
        <w:tc>
          <w:tcPr>
            <w:tcW w:w="4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JPY</w:t>
            </w:r>
          </w:p>
        </w:tc>
        <w:tc>
          <w:tcPr>
            <w:tcW w:w="20" w:type="dxa"/>
            <w:vAlign w:val="bottom"/>
          </w:tcPr>
          <w:p>
            <w:pPr>
              <w:spacing w:after="0"/>
              <w:rPr>
                <w:sz w:val="18"/>
                <w:szCs w:val="18"/>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GBP</w:t>
            </w:r>
          </w:p>
        </w:tc>
        <w:tc>
          <w:tcPr>
            <w:tcW w:w="2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CAD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00" w:type="dxa"/>
            <w:vAlign w:val="bottom"/>
            <w:tcBorders>
              <w:right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$’000</w:t>
            </w:r>
          </w:p>
        </w:tc>
        <w:tc>
          <w:tcPr>
            <w:tcW w:w="4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shd w:val="clear" w:color="auto" w:fill="000000"/>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$’000</w:t>
            </w: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70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and cash</w:t>
            </w:r>
          </w:p>
        </w:tc>
        <w:tc>
          <w:tcPr>
            <w:tcW w:w="14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7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460,664</w:t>
            </w:r>
          </w:p>
        </w:tc>
        <w:tc>
          <w:tcPr>
            <w:tcW w:w="20" w:type="dxa"/>
            <w:vAlign w:val="bottom"/>
            <w:tcBorders>
              <w:bottom w:val="single" w:sz="8" w:color="auto"/>
            </w:tcBorders>
            <w:shd w:val="clear" w:color="auto" w:fill="000000"/>
          </w:tcPr>
          <w:p>
            <w:pPr>
              <w:spacing w:after="0"/>
              <w:rPr>
                <w:sz w:val="20"/>
                <w:szCs w:val="20"/>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227,312</w:t>
            </w:r>
          </w:p>
        </w:tc>
        <w:tc>
          <w:tcPr>
            <w:tcW w:w="40" w:type="dxa"/>
            <w:vAlign w:val="bottom"/>
            <w:tcBorders>
              <w:bottom w:val="single" w:sz="8" w:color="auto"/>
            </w:tcBorders>
            <w:shd w:val="clear" w:color="auto" w:fill="000000"/>
          </w:tcPr>
          <w:p>
            <w:pPr>
              <w:spacing w:after="0"/>
              <w:rPr>
                <w:sz w:val="20"/>
                <w:szCs w:val="20"/>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20,169</w:t>
            </w:r>
          </w:p>
        </w:tc>
        <w:tc>
          <w:tcPr>
            <w:tcW w:w="20" w:type="dxa"/>
            <w:vAlign w:val="bottom"/>
            <w:tcBorders>
              <w:bottom w:val="single" w:sz="8" w:color="auto"/>
            </w:tcBorders>
            <w:shd w:val="clear" w:color="auto" w:fill="000000"/>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w:t>
            </w:r>
          </w:p>
        </w:tc>
        <w:tc>
          <w:tcPr>
            <w:tcW w:w="40" w:type="dxa"/>
            <w:vAlign w:val="bottom"/>
            <w:tcBorders>
              <w:bottom w:val="single" w:sz="8" w:color="auto"/>
            </w:tcBorders>
            <w:shd w:val="clear" w:color="auto" w:fill="000000"/>
          </w:tcPr>
          <w:p>
            <w:pPr>
              <w:spacing w:after="0"/>
              <w:rPr>
                <w:sz w:val="20"/>
                <w:szCs w:val="20"/>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Borders>
              <w:bottom w:val="single" w:sz="8" w:color="auto"/>
            </w:tcBorders>
            <w:shd w:val="clear" w:color="auto" w:fill="000000"/>
          </w:tcPr>
          <w:p>
            <w:pPr>
              <w:spacing w:after="0"/>
              <w:rPr>
                <w:sz w:val="20"/>
                <w:szCs w:val="20"/>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Borders>
              <w:bottom w:val="single" w:sz="8" w:color="auto"/>
            </w:tcBorders>
            <w:shd w:val="clear" w:color="auto" w:fill="000000"/>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136,525</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734</w:t>
            </w:r>
          </w:p>
        </w:tc>
        <w:tc>
          <w:tcPr>
            <w:tcW w:w="4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2,367</w:t>
            </w:r>
          </w:p>
        </w:tc>
        <w:tc>
          <w:tcPr>
            <w:tcW w:w="20" w:type="dxa"/>
            <w:vAlign w:val="bottom"/>
            <w:tcBorders>
              <w:bottom w:val="single" w:sz="8" w:color="auto"/>
            </w:tcBorders>
            <w:shd w:val="clear" w:color="auto" w:fill="000000"/>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4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6,093</w:t>
            </w:r>
          </w:p>
        </w:tc>
        <w:tc>
          <w:tcPr>
            <w:tcW w:w="20" w:type="dxa"/>
            <w:vAlign w:val="bottom"/>
            <w:tcBorders>
              <w:bottom w:val="single" w:sz="8" w:color="auto"/>
            </w:tcBorders>
            <w:shd w:val="clear" w:color="auto" w:fill="000000"/>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(76,881)</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(12,363)</w:t>
            </w:r>
          </w:p>
        </w:tc>
        <w:tc>
          <w:tcPr>
            <w:tcW w:w="4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(22,052)</w:t>
            </w:r>
          </w:p>
        </w:tc>
        <w:tc>
          <w:tcPr>
            <w:tcW w:w="20" w:type="dxa"/>
            <w:vAlign w:val="bottom"/>
            <w:tcBorders>
              <w:bottom w:val="single" w:sz="8" w:color="auto"/>
            </w:tcBorders>
            <w:shd w:val="clear" w:color="auto" w:fill="000000"/>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tcBorders>
              <w:bottom w:val="single" w:sz="8" w:color="auto"/>
            </w:tcBorders>
            <w:shd w:val="clear" w:color="auto" w:fill="000000"/>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70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Decommissioning</w:t>
            </w:r>
          </w:p>
        </w:tc>
        <w:tc>
          <w:tcPr>
            <w:tcW w:w="14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7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20" w:type="dxa"/>
            <w:vAlign w:val="bottom"/>
            <w:tcBorders>
              <w:bottom w:val="single" w:sz="8" w:color="auto"/>
            </w:tcBorders>
            <w:shd w:val="clear" w:color="auto" w:fill="000000"/>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0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Contingent</w:t>
            </w:r>
          </w:p>
        </w:tc>
        <w:tc>
          <w:tcPr>
            <w:tcW w:w="14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7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(91,417)</w:t>
            </w:r>
          </w:p>
        </w:tc>
        <w:tc>
          <w:tcPr>
            <w:tcW w:w="20" w:type="dxa"/>
            <w:vAlign w:val="bottom"/>
            <w:tcBorders>
              <w:bottom w:val="single" w:sz="8" w:color="auto"/>
            </w:tcBorders>
            <w:shd w:val="clear" w:color="auto" w:fill="000000"/>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40" w:type="dxa"/>
            <w:vAlign w:val="bottom"/>
            <w:tcBorders>
              <w:bottom w:val="single" w:sz="8" w:color="auto"/>
            </w:tcBorders>
            <w:shd w:val="clear" w:color="auto" w:fill="000000"/>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(24,061)</w:t>
            </w:r>
          </w:p>
        </w:tc>
        <w:tc>
          <w:tcPr>
            <w:tcW w:w="20" w:type="dxa"/>
            <w:vAlign w:val="bottom"/>
            <w:tcBorders>
              <w:bottom w:val="single" w:sz="8" w:color="auto"/>
            </w:tcBorders>
            <w:shd w:val="clear" w:color="auto" w:fill="000000"/>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20"/>
                <w:szCs w:val="20"/>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Borrowings</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(538,056)</w:t>
            </w:r>
          </w:p>
        </w:tc>
        <w:tc>
          <w:tcPr>
            <w:tcW w:w="40" w:type="dxa"/>
            <w:vAlign w:val="bottom"/>
            <w:tcBorders>
              <w:bottom w:val="single" w:sz="8" w:color="auto"/>
            </w:tcBorders>
            <w:shd w:val="clear" w:color="auto" w:fill="000000"/>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(15,255)</w:t>
            </w:r>
          </w:p>
        </w:tc>
        <w:tc>
          <w:tcPr>
            <w:tcW w:w="20" w:type="dxa"/>
            <w:vAlign w:val="bottom"/>
            <w:tcBorders>
              <w:bottom w:val="single" w:sz="8" w:color="auto"/>
            </w:tcBorders>
            <w:shd w:val="clear" w:color="auto" w:fill="000000"/>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570"/>
        </w:trPr>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3"/>
          </w:tcPr>
          <w:p>
            <w:pPr>
              <w:jc w:val="right"/>
              <w:ind w:right="880"/>
              <w:spacing w:after="0"/>
              <w:rPr>
                <w:sz w:val="20"/>
                <w:szCs w:val="20"/>
                <w:color w:val="auto"/>
              </w:rPr>
            </w:pPr>
            <w:r>
              <w:rPr>
                <w:rFonts w:ascii="Times New Roman" w:cs="Times New Roman" w:eastAsia="Times New Roman" w:hAnsi="Times New Roman"/>
                <w:sz w:val="14"/>
                <w:szCs w:val="14"/>
                <w:color w:val="auto"/>
              </w:rPr>
              <w:t>F-61</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7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307" w:name="page308"/>
    <w:bookmarkEnd w:id="3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9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balances held at December 31, 2023 that give rise to currency risk exposure are presented in Australian dollars below:</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USD</w:t>
            </w:r>
          </w:p>
        </w:tc>
        <w:tc>
          <w:tcPr>
            <w:tcW w:w="40" w:type="dxa"/>
            <w:vAlign w:val="bottom"/>
          </w:tcPr>
          <w:p>
            <w:pPr>
              <w:spacing w:after="0"/>
              <w:rPr>
                <w:sz w:val="18"/>
                <w:szCs w:val="18"/>
                <w:color w:val="auto"/>
              </w:rPr>
            </w:pP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AUD</w:t>
            </w:r>
          </w:p>
        </w:tc>
        <w:tc>
          <w:tcPr>
            <w:tcW w:w="2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EUR</w:t>
            </w:r>
          </w:p>
        </w:tc>
        <w:tc>
          <w:tcPr>
            <w:tcW w:w="2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CHF</w:t>
            </w:r>
          </w:p>
        </w:tc>
        <w:tc>
          <w:tcPr>
            <w:tcW w:w="2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JPY</w:t>
            </w:r>
          </w:p>
        </w:tc>
        <w:tc>
          <w:tcPr>
            <w:tcW w:w="40" w:type="dxa"/>
            <w:vAlign w:val="bottom"/>
          </w:tcPr>
          <w:p>
            <w:pPr>
              <w:spacing w:after="0"/>
              <w:rPr>
                <w:sz w:val="18"/>
                <w:szCs w:val="18"/>
                <w:color w:val="auto"/>
              </w:rPr>
            </w:pPr>
          </w:p>
        </w:tc>
        <w:tc>
          <w:tcPr>
            <w:tcW w:w="420" w:type="dxa"/>
            <w:vAlign w:val="bottom"/>
            <w:vMerge w:val="restart"/>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GBP</w:t>
            </w:r>
          </w:p>
        </w:tc>
        <w:tc>
          <w:tcPr>
            <w:tcW w:w="40" w:type="dxa"/>
            <w:vAlign w:val="bottom"/>
          </w:tcPr>
          <w:p>
            <w:pPr>
              <w:spacing w:after="0"/>
              <w:rPr>
                <w:sz w:val="18"/>
                <w:szCs w:val="18"/>
                <w:color w:val="auto"/>
              </w:rPr>
            </w:pPr>
          </w:p>
        </w:tc>
        <w:tc>
          <w:tcPr>
            <w:tcW w:w="1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CAD</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0" w:type="dxa"/>
            <w:vAlign w:val="bottom"/>
            <w:tcBorders>
              <w:bottom w:val="single" w:sz="8" w:color="auto"/>
            </w:tcBorders>
            <w:shd w:val="clear" w:color="auto" w:fill="000000"/>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60,659</w:t>
            </w:r>
          </w:p>
        </w:tc>
        <w:tc>
          <w:tcPr>
            <w:tcW w:w="4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58,649</w:t>
            </w: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0" w:type="dxa"/>
            <w:vAlign w:val="bottom"/>
            <w:tcBorders>
              <w:bottom w:val="single" w:sz="8" w:color="auto"/>
            </w:tcBorders>
            <w:shd w:val="clear" w:color="auto" w:fill="000000"/>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37,131</w:t>
            </w:r>
          </w:p>
        </w:tc>
        <w:tc>
          <w:tcPr>
            <w:tcW w:w="4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26,478</w:t>
            </w: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4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(67,581)</w:t>
            </w: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Borders>
              <w:bottom w:val="single" w:sz="8" w:color="auto"/>
            </w:tcBorders>
            <w:shd w:val="clear" w:color="auto" w:fill="000000"/>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Government grant liability</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Decommissioning liability</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Contingent consideration liability</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(64,231)</w:t>
            </w:r>
          </w:p>
        </w:tc>
        <w:tc>
          <w:tcPr>
            <w:tcW w:w="4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20" w:type="dxa"/>
            <w:vAlign w:val="bottom"/>
            <w:tcBorders>
              <w:bottom w:val="single" w:sz="8" w:color="auto"/>
            </w:tcBorders>
            <w:shd w:val="clear" w:color="auto" w:fill="000000"/>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Outlined below is a sensitivity analysis which assesses the impact that a change of +/- 10% in the exchange rates as at each reporting date would have on the Group’s reported profit/(loss) after income tax and/or equity balance.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8"/>
              </w:rPr>
              <w:t>Impact on post-tax profit/(loss)</w:t>
            </w: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2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260" w:type="dxa"/>
            <w:vAlign w:val="bottom"/>
            <w:tcBorders>
              <w:right w:val="single" w:sz="8" w:color="auto"/>
            </w:tcBorders>
          </w:tcPr>
          <w:p>
            <w:pPr>
              <w:spacing w:after="0"/>
              <w:rPr>
                <w:sz w:val="16"/>
                <w:szCs w:val="16"/>
                <w:color w:val="auto"/>
              </w:rPr>
            </w:pPr>
          </w:p>
        </w:tc>
        <w:tc>
          <w:tcPr>
            <w:tcW w:w="116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+10%</w:t>
            </w:r>
          </w:p>
        </w:tc>
        <w:tc>
          <w:tcPr>
            <w:tcW w:w="40" w:type="dxa"/>
            <w:vAlign w:val="bottom"/>
            <w:shd w:val="clear" w:color="auto" w:fill="000000"/>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shd w:val="clear" w:color="auto" w:fill="000000"/>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shd w:val="clear" w:color="auto" w:fill="000000"/>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-10%</w:t>
            </w:r>
          </w:p>
        </w:tc>
        <w:tc>
          <w:tcPr>
            <w:tcW w:w="40" w:type="dxa"/>
            <w:vAlign w:val="bottom"/>
            <w:shd w:val="clear" w:color="auto" w:fill="000000"/>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shd w:val="clear" w:color="auto" w:fill="000000"/>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shd w:val="clear" w:color="auto" w:fill="000000"/>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+10%</w:t>
            </w:r>
          </w:p>
        </w:tc>
        <w:tc>
          <w:tcPr>
            <w:tcW w:w="40" w:type="dxa"/>
            <w:vAlign w:val="bottom"/>
            <w:shd w:val="clear" w:color="auto" w:fill="000000"/>
          </w:tcPr>
          <w:p>
            <w:pPr>
              <w:spacing w:after="0"/>
              <w:rPr>
                <w:sz w:val="16"/>
                <w:szCs w:val="16"/>
                <w:color w:val="auto"/>
              </w:rPr>
            </w:pPr>
          </w:p>
        </w:tc>
        <w:tc>
          <w:tcPr>
            <w:tcW w:w="110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45"/>
        </w:trPr>
        <w:tc>
          <w:tcPr>
            <w:tcW w:w="226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Profit/(loss)</w:t>
            </w:r>
          </w:p>
        </w:tc>
        <w:tc>
          <w:tcPr>
            <w:tcW w:w="40" w:type="dxa"/>
            <w:vAlign w:val="bottom"/>
            <w:tcBorders>
              <w:bottom w:val="single" w:sz="8" w:color="auto"/>
            </w:tcBorders>
            <w:shd w:val="clear" w:color="auto" w:fill="000000"/>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Profit/(loss)</w:t>
            </w:r>
          </w:p>
        </w:tc>
        <w:tc>
          <w:tcPr>
            <w:tcW w:w="20" w:type="dxa"/>
            <w:vAlign w:val="bottom"/>
            <w:tcBorders>
              <w:bottom w:val="single" w:sz="8" w:color="auto"/>
            </w:tcBorders>
            <w:shd w:val="clear" w:color="auto" w:fill="000000"/>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 w:type="dxa"/>
            <w:vAlign w:val="bottom"/>
            <w:tcBorders>
              <w:bottom w:val="single" w:sz="8" w:color="auto"/>
            </w:tcBorders>
            <w:shd w:val="clear" w:color="auto" w:fill="000000"/>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0" w:type="dxa"/>
            <w:vAlign w:val="bottom"/>
            <w:tcBorders>
              <w:bottom w:val="single" w:sz="8" w:color="auto"/>
            </w:tcBorders>
            <w:shd w:val="clear" w:color="auto" w:fill="000000"/>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Profit/(loss)</w:t>
            </w:r>
          </w:p>
        </w:tc>
        <w:tc>
          <w:tcPr>
            <w:tcW w:w="20" w:type="dxa"/>
            <w:vAlign w:val="bottom"/>
            <w:tcBorders>
              <w:bottom w:val="single" w:sz="8" w:color="auto"/>
            </w:tcBorders>
            <w:shd w:val="clear" w:color="auto" w:fill="000000"/>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Profit/(loss)</w:t>
            </w:r>
          </w:p>
        </w:tc>
        <w:tc>
          <w:tcPr>
            <w:tcW w:w="20" w:type="dxa"/>
            <w:vAlign w:val="bottom"/>
            <w:tcBorders>
              <w:bottom w:val="single" w:sz="8" w:color="auto"/>
            </w:tcBorders>
            <w:shd w:val="clear" w:color="auto" w:fill="000000"/>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0" w:type="dxa"/>
            <w:vAlign w:val="bottom"/>
            <w:tcBorders>
              <w:bottom w:val="single" w:sz="8" w:color="auto"/>
            </w:tcBorders>
            <w:shd w:val="clear" w:color="auto" w:fill="000000"/>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2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$’000</w:t>
            </w:r>
          </w:p>
        </w:tc>
        <w:tc>
          <w:tcPr>
            <w:tcW w:w="40" w:type="dxa"/>
            <w:vAlign w:val="bottom"/>
            <w:tcBorders>
              <w:bottom w:val="single" w:sz="8" w:color="auto"/>
            </w:tcBorders>
            <w:shd w:val="clear" w:color="auto" w:fill="000000"/>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0" w:type="dxa"/>
            <w:vAlign w:val="bottom"/>
            <w:tcBorders>
              <w:bottom w:val="single" w:sz="8" w:color="auto"/>
            </w:tcBorders>
            <w:shd w:val="clear" w:color="auto" w:fill="000000"/>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23"/>
        </w:trPr>
        <w:tc>
          <w:tcPr>
            <w:tcW w:w="22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(16,040)</w:t>
            </w:r>
          </w:p>
        </w:tc>
        <w:tc>
          <w:tcPr>
            <w:tcW w:w="40" w:type="dxa"/>
            <w:vAlign w:val="bottom"/>
            <w:tcBorders>
              <w:bottom w:val="single" w:sz="8" w:color="auto"/>
            </w:tcBorders>
            <w:shd w:val="clear" w:color="auto" w:fill="000000"/>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19,605</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(24,189)</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29,564</w:t>
            </w:r>
          </w:p>
        </w:tc>
        <w:tc>
          <w:tcPr>
            <w:tcW w:w="4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40" w:type="dxa"/>
            <w:vAlign w:val="bottom"/>
            <w:tcBorders>
              <w:bottom w:val="single" w:sz="8" w:color="auto"/>
            </w:tcBorders>
            <w:shd w:val="clear" w:color="auto" w:fill="000000"/>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9,606</w:t>
            </w:r>
          </w:p>
        </w:tc>
        <w:tc>
          <w:tcPr>
            <w:tcW w:w="0" w:type="dxa"/>
            <w:vAlign w:val="bottom"/>
          </w:tcPr>
          <w:p>
            <w:pPr>
              <w:spacing w:after="0"/>
              <w:rPr>
                <w:sz w:val="1"/>
                <w:szCs w:val="1"/>
                <w:color w:val="auto"/>
              </w:rPr>
            </w:pPr>
          </w:p>
        </w:tc>
      </w:tr>
      <w:tr>
        <w:trPr>
          <w:trHeight w:val="223"/>
        </w:trPr>
        <w:tc>
          <w:tcPr>
            <w:tcW w:w="2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EUR</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2,413</w:t>
            </w:r>
          </w:p>
        </w:tc>
        <w:tc>
          <w:tcPr>
            <w:tcW w:w="40" w:type="dxa"/>
            <w:vAlign w:val="bottom"/>
            <w:tcBorders>
              <w:bottom w:val="single" w:sz="8" w:color="auto"/>
            </w:tcBorders>
            <w:shd w:val="clear" w:color="auto" w:fill="000000"/>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4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0" w:type="dxa"/>
            <w:vAlign w:val="bottom"/>
            <w:tcBorders>
              <w:bottom w:val="single" w:sz="8" w:color="auto"/>
            </w:tcBorders>
            <w:shd w:val="clear" w:color="auto" w:fill="000000"/>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3"/>
        </w:trPr>
        <w:tc>
          <w:tcPr>
            <w:tcW w:w="22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CHF</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Borders>
              <w:bottom w:val="single" w:sz="8" w:color="auto"/>
            </w:tcBorders>
            <w:shd w:val="clear" w:color="auto" w:fill="000000"/>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Borders>
              <w:bottom w:val="single" w:sz="8" w:color="auto"/>
            </w:tcBorders>
            <w:shd w:val="clear" w:color="auto" w:fill="000000"/>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2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JPY</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auto"/>
            </w:tcBorders>
            <w:shd w:val="clear" w:color="auto" w:fill="000000"/>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Borders>
              <w:bottom w:val="single" w:sz="8" w:color="auto"/>
            </w:tcBorders>
            <w:shd w:val="clear" w:color="auto" w:fill="000000"/>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22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GBP</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auto"/>
            </w:tcBorders>
            <w:shd w:val="clear" w:color="auto" w:fill="000000"/>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CAD</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000000"/>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auto"/>
            </w:tcBorders>
            <w:shd w:val="clear" w:color="auto" w:fill="000000"/>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2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(13,624)</w:t>
            </w:r>
          </w:p>
        </w:tc>
        <w:tc>
          <w:tcPr>
            <w:tcW w:w="40" w:type="dxa"/>
            <w:vAlign w:val="bottom"/>
            <w:tcBorders>
              <w:bottom w:val="single" w:sz="8" w:color="auto"/>
            </w:tcBorders>
            <w:shd w:val="clear" w:color="auto" w:fill="000000"/>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16,652</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(23,570)</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28,808</w:t>
            </w:r>
          </w:p>
        </w:tc>
        <w:tc>
          <w:tcPr>
            <w:tcW w:w="4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3,195</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(3,903)</w:t>
            </w:r>
          </w:p>
        </w:tc>
        <w:tc>
          <w:tcPr>
            <w:tcW w:w="20" w:type="dxa"/>
            <w:vAlign w:val="bottom"/>
            <w:tcBorders>
              <w:bottom w:val="single" w:sz="8" w:color="auto"/>
            </w:tcBorders>
            <w:shd w:val="clear" w:color="auto" w:fill="000000"/>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(8,139)</w:t>
            </w:r>
          </w:p>
        </w:tc>
        <w:tc>
          <w:tcPr>
            <w:tcW w:w="40" w:type="dxa"/>
            <w:vAlign w:val="bottom"/>
            <w:tcBorders>
              <w:bottom w:val="single" w:sz="8" w:color="auto"/>
            </w:tcBorders>
            <w:shd w:val="clear" w:color="auto" w:fill="000000"/>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9,946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32.4.Credit risk</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Credit risk refers to the risk that a counterparty will default on its contractual obligations resulting in financial loss to the Group. Credit risk arises from cash and cash equivalents and credit exposures to customers, including outstanding receivables.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Credit risk is managed on a group basis. If customers are independently rated, these ratings are used. Otherwise, if there is no independent rating, the Group assesses the credit quality of the customer, taking into account its financial position, past experience and other factors. Individual risk limits are set based on internal or external ratings. The compliance with credit limits by customers is regularly monitored. The Group obtains guarantees where appropriate to mitigate credit risk.</w:t>
      </w:r>
    </w:p>
    <w:p>
      <w:pPr>
        <w:spacing w:after="0" w:line="18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Group applies the IFRS 9 simplified approach to measuring expected credit losses which uses a lifetime expected loss allowance for all trade receivables.</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To measure the expected credit losses, trade receivables have been grouped based on shared credit risk characteristics and the days past due. The expected loss rates are based on historical payment profiles of sales and the corresponding historical credit losses experienced. The historical loss rates are adjusted to reflect current and forward-looking information on macroeconomic factors affecting the ability of the customers to settle the receivables.</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Trade receivables are written off where there is no reasonable expectation of recovery. Indicators that there is no reasonable expectation of recovery include, amongst others, the failure of a debtor to engage in a repayment plan with the Group, and the failure to make contractual payments for a period of greater than 120 days past due.</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Impairment losses on trade receivables are presented within selling, general and administration costs within profit or loss. Subsequent recoveries of amounts previously written off are credited against the same line item.</w:t>
      </w:r>
    </w:p>
    <w:p>
      <w:pPr>
        <w:spacing w:after="0" w:line="16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As at December 31, 2024, the expected credit losses are $211,000 (2023: $533,000). The following tables sets out the ageing of trade receivables, according to their due date: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Aged trade receivables</w:t>
            </w: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Expected credit losses</w:t>
            </w:r>
          </w:p>
        </w:tc>
        <w:tc>
          <w:tcPr>
            <w:tcW w:w="800" w:type="dxa"/>
            <w:vAlign w:val="bottom"/>
          </w:tcPr>
          <w:p>
            <w:pPr>
              <w:spacing w:after="0"/>
              <w:rPr>
                <w:sz w:val="18"/>
                <w:szCs w:val="18"/>
                <w:color w:val="auto"/>
              </w:rPr>
            </w:pPr>
          </w:p>
        </w:tc>
        <w:tc>
          <w:tcPr>
            <w:tcW w:w="1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Borders>
              <w:right w:val="single" w:sz="8" w:color="auto"/>
            </w:tcBorders>
          </w:tcPr>
          <w:p>
            <w:pPr>
              <w:spacing w:after="0"/>
              <w:rPr>
                <w:sz w:val="19"/>
                <w:szCs w:val="19"/>
                <w:color w:val="auto"/>
              </w:rPr>
            </w:pPr>
          </w:p>
        </w:tc>
        <w:tc>
          <w:tcPr>
            <w:tcW w:w="1940" w:type="dxa"/>
            <w:vAlign w:val="bottom"/>
            <w:tcBorders>
              <w:bottom w:val="single" w:sz="8" w:color="auto"/>
            </w:tcBorders>
            <w:gridSpan w:val="2"/>
            <w:vMerge w:val="continue"/>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tcBorders>
            <w:gridSpan w:val="2"/>
            <w:vMerge w:val="continue"/>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 past due:</w:t>
            </w:r>
          </w:p>
        </w:tc>
        <w:tc>
          <w:tcPr>
            <w:tcW w:w="1380" w:type="dxa"/>
            <w:vAlign w:val="bottom"/>
            <w:tcBorders>
              <w:bottom w:val="single" w:sz="8" w:color="auto"/>
              <w:right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129,712</w:t>
            </w:r>
          </w:p>
        </w:tc>
        <w:tc>
          <w:tcPr>
            <w:tcW w:w="6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57,576</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3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30 days</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5,956</w:t>
            </w:r>
          </w:p>
        </w:tc>
        <w:tc>
          <w:tcPr>
            <w:tcW w:w="6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4,298</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60 days</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884</w:t>
            </w: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90 days</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1,003</w:t>
            </w:r>
          </w:p>
        </w:tc>
        <w:tc>
          <w:tcPr>
            <w:tcW w:w="6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120 days</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2,101</w:t>
            </w: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5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139,656</w:t>
            </w:r>
          </w:p>
        </w:tc>
        <w:tc>
          <w:tcPr>
            <w:tcW w:w="6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65,310</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 concentration profile</w:t>
      </w:r>
    </w:p>
    <w:p>
      <w:pPr>
        <w:spacing w:after="0" w:line="22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Group has a significant credit risk exposure to three distributors of 87% (2023: 81% to three distributors). The Group defines major credit risk as exposure to a concentration exceeding 10% of a total class of such asset.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32.5.Liquidity risk</w:t>
      </w:r>
    </w:p>
    <w:p>
      <w:pPr>
        <w:spacing w:after="0" w:line="225"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Group is exposed to liquidity and funding risk from operations and from external borrowings, where the risk is that the Group may not be able to refinance debt obligations or meet other cash outflow obligations when required. Vigilant liquidity risk management requires the Group to maintain sufficient liquid assets (mainly cash and cash equivalents). The Group manages liquidity risk by maintaining adequate cash reserves by continuously monitoring actual and forecast cash flows and matching the maturity profiles of financial assets and liabilities.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contractual maturities:</w:t>
      </w:r>
    </w:p>
    <w:p>
      <w:pPr>
        <w:spacing w:after="0" w:line="227"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The following tables detail the Group’s remaining contractual maturity for its financial instrument liabilities. The tables have been drawn up based on the undiscounted cash flows of financial liabilities based on the earliest date on which the financial liabilities are required to be paid. The tables include both interest and principal cash flows disclosed as remaining contractual maturities and therefore these totals may differ from their carrying amount in the consolidated statement of financial position.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shd w:val="clear" w:color="auto" w:fill="000000"/>
          </w:tcPr>
          <w:p>
            <w:pPr>
              <w:spacing w:after="0"/>
              <w:rPr>
                <w:sz w:val="17"/>
                <w:szCs w:val="17"/>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16"/>
        </w:trPr>
        <w:tc>
          <w:tcPr>
            <w:tcW w:w="31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As at December 31, 2024</w:t>
            </w:r>
          </w:p>
        </w:tc>
        <w:tc>
          <w:tcPr>
            <w:tcW w:w="14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 months</w:t>
            </w:r>
          </w:p>
        </w:tc>
        <w:tc>
          <w:tcPr>
            <w:tcW w:w="13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6-12 months</w:t>
            </w:r>
          </w:p>
        </w:tc>
        <w:tc>
          <w:tcPr>
            <w:tcW w:w="1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 years</w:t>
            </w:r>
          </w:p>
        </w:tc>
        <w:tc>
          <w:tcPr>
            <w:tcW w:w="1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Over 5 years</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0" w:type="dxa"/>
            <w:vAlign w:val="bottom"/>
            <w:shd w:val="clear" w:color="auto" w:fill="000000"/>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45"/>
        </w:trPr>
        <w:tc>
          <w:tcPr>
            <w:tcW w:w="3160" w:type="dxa"/>
            <w:vAlign w:val="bottom"/>
            <w:tcBorders>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of liabilities</w:t>
            </w:r>
          </w:p>
        </w:tc>
        <w:tc>
          <w:tcPr>
            <w:tcW w:w="0" w:type="dxa"/>
            <w:vAlign w:val="bottom"/>
          </w:tcPr>
          <w:p>
            <w:pPr>
              <w:spacing w:after="0"/>
              <w:rPr>
                <w:sz w:val="1"/>
                <w:szCs w:val="1"/>
                <w:color w:val="auto"/>
              </w:rPr>
            </w:pPr>
          </w:p>
        </w:tc>
      </w:tr>
      <w:tr>
        <w:trPr>
          <w:trHeight w:val="223"/>
        </w:trPr>
        <w:tc>
          <w:tcPr>
            <w:tcW w:w="3160" w:type="dxa"/>
            <w:vAlign w:val="bottom"/>
            <w:tcBorders>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Non-derivatives</w:t>
            </w:r>
          </w:p>
        </w:tc>
        <w:tc>
          <w:tcPr>
            <w:tcW w:w="140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139,927</w:t>
            </w:r>
          </w:p>
        </w:tc>
        <w:tc>
          <w:tcPr>
            <w:tcW w:w="138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139,927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139,927</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Borrowings</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8,454</w:t>
            </w: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8,464</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716,899</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5,104</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738,921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570,811</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1,477</w:t>
            </w:r>
          </w:p>
        </w:tc>
        <w:tc>
          <w:tcPr>
            <w:tcW w:w="138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1,463</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7,948</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11,023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10,637</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Government grant liability</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1,210</w:t>
            </w: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491</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1,329</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182</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3,212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85,635</w:t>
            </w:r>
          </w:p>
        </w:tc>
        <w:tc>
          <w:tcPr>
            <w:tcW w:w="138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38,186</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1,989</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125,810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116,316</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236,703</w:t>
            </w: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10,418</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764,362</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7,410</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1,018,893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840,691</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194"/>
        </w:trPr>
        <w:tc>
          <w:tcPr>
            <w:tcW w:w="31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3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As at December 31, 2023</w:t>
            </w:r>
          </w:p>
        </w:tc>
        <w:tc>
          <w:tcPr>
            <w:tcW w:w="14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 months</w:t>
            </w:r>
          </w:p>
        </w:tc>
        <w:tc>
          <w:tcPr>
            <w:tcW w:w="13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6-12 months</w:t>
            </w:r>
          </w:p>
        </w:tc>
        <w:tc>
          <w:tcPr>
            <w:tcW w:w="1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 years</w:t>
            </w:r>
          </w:p>
        </w:tc>
        <w:tc>
          <w:tcPr>
            <w:tcW w:w="1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Over 5 years</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0" w:type="dxa"/>
            <w:vAlign w:val="bottom"/>
            <w:shd w:val="clear" w:color="auto" w:fill="000000"/>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45"/>
        </w:trPr>
        <w:tc>
          <w:tcPr>
            <w:tcW w:w="3160" w:type="dxa"/>
            <w:vAlign w:val="bottom"/>
            <w:tcBorders>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of liabilities</w:t>
            </w:r>
          </w:p>
        </w:tc>
        <w:tc>
          <w:tcPr>
            <w:tcW w:w="0" w:type="dxa"/>
            <w:vAlign w:val="bottom"/>
          </w:tcPr>
          <w:p>
            <w:pPr>
              <w:spacing w:after="0"/>
              <w:rPr>
                <w:sz w:val="1"/>
                <w:szCs w:val="1"/>
                <w:color w:val="auto"/>
              </w:rPr>
            </w:pPr>
          </w:p>
        </w:tc>
      </w:tr>
      <w:tr>
        <w:trPr>
          <w:trHeight w:val="223"/>
        </w:trPr>
        <w:tc>
          <w:tcPr>
            <w:tcW w:w="3160" w:type="dxa"/>
            <w:vAlign w:val="bottom"/>
            <w:tcBorders>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Non-derivatives</w:t>
            </w:r>
          </w:p>
        </w:tc>
        <w:tc>
          <w:tcPr>
            <w:tcW w:w="140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81,704</w:t>
            </w:r>
          </w:p>
        </w:tc>
        <w:tc>
          <w:tcPr>
            <w:tcW w:w="138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81,704</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81,704</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Borrowings</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1,105</w:t>
            </w: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1,105</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8,839</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6,859</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17,908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9,173</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1,044</w:t>
            </w:r>
          </w:p>
        </w:tc>
        <w:tc>
          <w:tcPr>
            <w:tcW w:w="138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1,057</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6,744</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1,264</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10,109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8,272</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Government grant liability</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376</w:t>
            </w: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577</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3,169</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593</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4,715</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2,664</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38,382</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65,229</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2,352</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105,963</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92,754</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84,229</w:t>
            </w: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41,121</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83,981</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11,068</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220,399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194,567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32.6. Fair value</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This section explains the judgements and estimates made in determining the fair values of the financial instruments that are recognized and measured at fair value in the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343A"/>
        </w:rPr>
        <w:t xml:space="preserve">32.6.1. </w:t>
      </w:r>
      <w:r>
        <w:rPr>
          <w:rFonts w:ascii="Times New Roman" w:cs="Times New Roman" w:eastAsia="Times New Roman" w:hAnsi="Times New Roman"/>
          <w:sz w:val="18"/>
          <w:szCs w:val="18"/>
          <w:i w:val="1"/>
          <w:iCs w:val="1"/>
          <w:color w:val="000000"/>
        </w:rPr>
        <w:t>Financial assets</w:t>
      </w:r>
    </w:p>
    <w:p>
      <w:pPr>
        <w:spacing w:after="0" w:line="29" w:lineRule="exact"/>
        <w:rPr>
          <w:sz w:val="20"/>
          <w:szCs w:val="20"/>
          <w:color w:val="auto"/>
        </w:rPr>
      </w:pPr>
    </w:p>
    <w:p>
      <w:pPr>
        <w:jc w:val="both"/>
        <w:ind w:right="460"/>
        <w:spacing w:after="0" w:line="255" w:lineRule="auto"/>
        <w:rPr>
          <w:sz w:val="20"/>
          <w:szCs w:val="20"/>
          <w:color w:val="auto"/>
        </w:rPr>
      </w:pPr>
      <w:r>
        <w:rPr>
          <w:rFonts w:ascii="Times New Roman" w:cs="Times New Roman" w:eastAsia="Times New Roman" w:hAnsi="Times New Roman"/>
          <w:sz w:val="18"/>
          <w:szCs w:val="18"/>
          <w:color w:val="auto"/>
        </w:rPr>
        <w:t>Financial assets are categorized as either level 1 or level 3 financial assets and remeasured at each reporting date with movements recognized in other comprehensive income. The inputs used in the level 1 fair value calculations are with reference to published price quotations for the associated equity instruments in an active market.</w:t>
      </w:r>
    </w:p>
    <w:p>
      <w:pPr>
        <w:spacing w:after="0" w:line="18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Level 3 financial assets are subject to key assumptions and unobservable inputs which include risk adjusted post-tax discount rates and forecasted discounted cashflows. These inputs significantly impact the underlying value of these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of level 1 financial assets</w:t>
      </w:r>
    </w:p>
    <w:p>
      <w:pPr>
        <w:spacing w:after="0" w:line="29" w:lineRule="exact"/>
        <w:rPr>
          <w:sz w:val="20"/>
          <w:szCs w:val="20"/>
          <w:color w:val="auto"/>
        </w:rPr>
      </w:pPr>
    </w:p>
    <w:p>
      <w:pPr>
        <w:ind w:right="920"/>
        <w:spacing w:after="0" w:line="260" w:lineRule="auto"/>
        <w:rPr>
          <w:sz w:val="20"/>
          <w:szCs w:val="20"/>
          <w:color w:val="auto"/>
        </w:rPr>
      </w:pPr>
      <w:r>
        <w:rPr>
          <w:rFonts w:ascii="Times New Roman" w:cs="Times New Roman" w:eastAsia="Times New Roman" w:hAnsi="Times New Roman"/>
          <w:sz w:val="18"/>
          <w:szCs w:val="18"/>
          <w:color w:val="auto"/>
        </w:rPr>
        <w:t>An increase/(decrease) of 10% in the share price of each financial asset while holding all other variables constant will increase/(decrease) other comprehensive income by $377,000 (2023: $1,178,000).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of level 3 financial assets</w:t>
      </w:r>
    </w:p>
    <w:p>
      <w:pPr>
        <w:spacing w:after="0" w:line="2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An increase/(decrease) of 10% in the discounted cashflows of each financial asset while holding all other variables constant will increase/(decrease) other comprehensive income by $300,000 (2023: $nil).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8343A"/>
        </w:rPr>
        <w:t xml:space="preserve">32.6.2. </w:t>
      </w:r>
      <w:r>
        <w:rPr>
          <w:rFonts w:ascii="Times New Roman" w:cs="Times New Roman" w:eastAsia="Times New Roman" w:hAnsi="Times New Roman"/>
          <w:sz w:val="18"/>
          <w:szCs w:val="18"/>
          <w:i w:val="1"/>
          <w:iCs w:val="1"/>
          <w:color w:val="000000"/>
        </w:rPr>
        <w:t>Financial liabilities</w:t>
      </w:r>
    </w:p>
    <w:p>
      <w:pPr>
        <w:spacing w:after="0" w:line="29" w:lineRule="exact"/>
        <w:rPr>
          <w:sz w:val="20"/>
          <w:szCs w:val="20"/>
          <w:color w:val="auto"/>
        </w:rPr>
      </w:pPr>
    </w:p>
    <w:p>
      <w:pPr>
        <w:jc w:val="both"/>
        <w:ind w:right="420"/>
        <w:spacing w:after="0" w:line="255" w:lineRule="auto"/>
        <w:rPr>
          <w:sz w:val="20"/>
          <w:szCs w:val="20"/>
          <w:color w:val="auto"/>
        </w:rPr>
      </w:pPr>
      <w:r>
        <w:rPr>
          <w:rFonts w:ascii="Times New Roman" w:cs="Times New Roman" w:eastAsia="Times New Roman" w:hAnsi="Times New Roman"/>
          <w:sz w:val="18"/>
          <w:szCs w:val="18"/>
          <w:color w:val="auto"/>
        </w:rPr>
        <w:t>Contingent consideration liabilities are categorized as level 3 financial liabilities and remeasured at each reporting date with movements recognized in profit or loss, except in instances where changes are permitted to be added to/reduce an associated asset. The inputs used in fair value calculations are determined by Management.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carrying amount of financial liabilities measured at fair value is principally calculated based on inputs other than quoted prices that are observable for these financial liabilities, either directly (i.e. as unquoted prices) or indirectly (i.e. derived from prices). Where no price information is available from a quoted market source, alternative market mechanisms or recent comparable transactions, fair value is estimated based on the management’s views on relevant future prices, net of valuation allowances to accommodate liquidity, modelling and other risks implicit in such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of level 3 financial liabilities</w:t>
      </w:r>
    </w:p>
    <w:p>
      <w:pPr>
        <w:spacing w:after="0" w:line="29" w:lineRule="exact"/>
        <w:rPr>
          <w:sz w:val="20"/>
          <w:szCs w:val="20"/>
          <w:color w:val="auto"/>
        </w:rPr>
      </w:pPr>
    </w:p>
    <w:p>
      <w:pPr>
        <w:jc w:val="both"/>
        <w:ind w:right="520"/>
        <w:spacing w:after="0" w:line="255" w:lineRule="auto"/>
        <w:rPr>
          <w:sz w:val="20"/>
          <w:szCs w:val="20"/>
          <w:color w:val="auto"/>
        </w:rPr>
      </w:pPr>
      <w:r>
        <w:rPr>
          <w:rFonts w:ascii="Times New Roman" w:cs="Times New Roman" w:eastAsia="Times New Roman" w:hAnsi="Times New Roman"/>
          <w:sz w:val="18"/>
          <w:szCs w:val="18"/>
          <w:color w:val="auto"/>
        </w:rPr>
        <w:t>The potential effect of using reasonably possible alternative assumptions in valuation models, based on a change in the most significant input, such as sales volumes, by an increase/(decrease) of 10% while holding all other variables constant will increase/(decrease) profit before tax by $3,007,000 (2023: $4,510,000).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processes</w:t>
      </w:r>
    </w:p>
    <w:p>
      <w:pPr>
        <w:spacing w:after="0" w:line="29" w:lineRule="exact"/>
        <w:rPr>
          <w:sz w:val="20"/>
          <w:szCs w:val="20"/>
          <w:color w:val="auto"/>
        </w:rPr>
      </w:pPr>
    </w:p>
    <w:p>
      <w:pPr>
        <w:jc w:val="both"/>
        <w:ind w:right="440"/>
        <w:spacing w:after="0" w:line="255" w:lineRule="auto"/>
        <w:rPr>
          <w:sz w:val="20"/>
          <w:szCs w:val="20"/>
          <w:color w:val="auto"/>
        </w:rPr>
      </w:pPr>
      <w:r>
        <w:rPr>
          <w:rFonts w:ascii="Times New Roman" w:cs="Times New Roman" w:eastAsia="Times New Roman" w:hAnsi="Times New Roman"/>
          <w:sz w:val="18"/>
          <w:szCs w:val="18"/>
          <w:color w:val="auto"/>
        </w:rPr>
        <w:t>The finance team of the Group performs the valuation of contingent consideration liabilities required for financial reporting purposes, including level 3 fair values. This team reports directly to the Chief Financial Officer (CFO). Discussions of valuation processes and results are held between the CFO and Board at least once every six months, in line with the Group’s half-yearly reporting periods.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main level 3 inputs used by the Group in measuring the fair value of contingent consideration liabilities are derived and evaluated as follows:</w:t>
      </w:r>
    </w:p>
    <w:p>
      <w:pPr>
        <w:spacing w:after="0" w:line="225" w:lineRule="exact"/>
        <w:rPr>
          <w:sz w:val="20"/>
          <w:szCs w:val="20"/>
          <w:color w:val="auto"/>
        </w:rPr>
      </w:pPr>
    </w:p>
    <w:p>
      <w:pPr>
        <w:ind w:left="340" w:right="380" w:hanging="238"/>
        <w:spacing w:after="0" w:line="261" w:lineRule="auto"/>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are determined by an independent third party using a weighted average cost of capital model to calculate a post-tax rate that reflects current market assessments of the time value of money and the risk specific to the asset</w:t>
      </w:r>
    </w:p>
    <w:p>
      <w:pPr>
        <w:ind w:left="340" w:right="20" w:hanging="238"/>
        <w:spacing w:after="0" w:line="250" w:lineRule="auto"/>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regulatory/marketing authorization approval dates and approval for marketing authorization probability risk factors are derived in consultation with the Group’s regulatory team</w:t>
      </w:r>
    </w:p>
    <w:p>
      <w:pPr>
        <w:ind w:left="340" w:right="260" w:hanging="238"/>
        <w:spacing w:after="0" w:line="250" w:lineRule="auto"/>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sales volumes and net sales price per unit are estimated based on market information on annual incidence rates and information for similar products and expected market penetration, and</w:t>
      </w:r>
    </w:p>
    <w:p>
      <w:pPr>
        <w:jc w:val="both"/>
        <w:ind w:left="340" w:hanging="238"/>
        <w:spacing w:after="0" w:line="255" w:lineRule="auto"/>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cash flows are estimated based on the terms of the sale contract. Changes in fair values are analyzed at the end of each reporting period during the half-yearly valuation discussion between the CFO and Board. As part of this discussion the CFO presents a report that explains the reason for the fair value movement.</w:t>
      </w:r>
    </w:p>
    <w:p>
      <w:pPr>
        <w:spacing w:after="0" w:line="18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33.</w:t>
        <w:tab/>
        <w:t>Contingent liabilities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Group has entered into collaboration arrangements, including in-licensing arrangements with various companies. Such collaboration agreements may require the Group to make payments on achievement of stages of development, launch or revenue milestones and may include variable payments that are based on unit sales or profit (e.g. royalty and profit share payments). The amount of variable payments under the arrangements are inherently uncertain and difficult to predict, given the direct link to future sales, profit levels and the range of outcomes.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October 24, 2024, the Group submitted and the FDA accepted the New Drug Application (NDA) for TLX101-CDx (Pixclara). As at December 31, 2024, there are potential milestone payments of US$100,000 in relation to clinical data used in the NDA and should the Group be successful in obtaining regulatory approval.</w:t>
      </w:r>
    </w:p>
    <w:p>
      <w:pPr>
        <w:spacing w:after="0" w:line="17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December 30, 2024 the Group submitted its Biologics License Application (BLA) to the U.S. Food and Drug Administration (FDA) for its investigational positron emission tomography (PET) imaging agent TLX250-CDx in clear cell renal cell carcinoma (ccRCC). As at December 31, 2024, there are potential milestone payments of US$1,850,000 to a licensor should the Group be successful in obtaining regulatory approval and commercialization in the U.S.</w:t>
      </w:r>
    </w:p>
    <w:p>
      <w:pPr>
        <w:spacing w:after="0" w:line="18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Group also has certain take or pay arrangements with contract manufacturers or service providers which serve as commercial manufacturers and suppliers for certain products. To the extent a commitment is determined to be onerous, these are provided for within provisions in the consolidated statement of financial position.</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34.</w:t>
        <w:tab/>
        <w:t>Commitments</w:t>
      </w:r>
    </w:p>
    <w:p>
      <w:pPr>
        <w:spacing w:after="0" w:line="3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At December 31, 2024 and at the date of these financial statements, the Group had commitments against existing R&amp;D and capital commitments relating to the construction of the Brussels South manufacturing facility. R&amp;D commitments in future years are estimated based on the contractual obligations included within agreements entered into by the Group.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Due &lt; 1 year</w:t>
            </w:r>
          </w:p>
        </w:tc>
        <w:tc>
          <w:tcPr>
            <w:tcW w:w="1320" w:type="dxa"/>
            <w:vAlign w:val="bottom"/>
            <w:tcBorders>
              <w:left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Due &gt; 1 year</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A$’000</w:t>
            </w:r>
          </w:p>
        </w:tc>
        <w:tc>
          <w:tcPr>
            <w:tcW w:w="1320" w:type="dxa"/>
            <w:vAlign w:val="bottom"/>
            <w:tcBorders>
              <w:left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left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tcBorders>
          </w:tcPr>
          <w:p>
            <w:pPr>
              <w:spacing w:after="0" w:line="216" w:lineRule="exact"/>
              <w:rPr>
                <w:sz w:val="20"/>
                <w:szCs w:val="20"/>
                <w:color w:val="auto"/>
              </w:rPr>
            </w:pPr>
            <w:r>
              <w:rPr>
                <w:rFonts w:ascii="Times New Roman" w:cs="Times New Roman" w:eastAsia="Times New Roman" w:hAnsi="Times New Roman"/>
                <w:sz w:val="16"/>
                <w:szCs w:val="16"/>
                <w:color w:val="auto"/>
              </w:rPr>
              <w:t>Capital commitments</w:t>
            </w:r>
            <w:r>
              <w:rPr>
                <w:rFonts w:ascii="Times New Roman" w:cs="Times New Roman" w:eastAsia="Times New Roman" w:hAnsi="Times New Roman"/>
                <w:sz w:val="25"/>
                <w:szCs w:val="25"/>
                <w:color w:val="auto"/>
                <w:vertAlign w:val="superscript"/>
              </w:rPr>
              <w:t>1</w:t>
            </w:r>
          </w:p>
        </w:tc>
        <w:tc>
          <w:tcPr>
            <w:tcW w:w="13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42,679</w:t>
            </w:r>
          </w:p>
        </w:tc>
        <w:tc>
          <w:tcPr>
            <w:tcW w:w="40" w:type="dxa"/>
            <w:vAlign w:val="bottom"/>
            <w:tcBorders>
              <w:bottom w:val="single" w:sz="8" w:color="auto"/>
            </w:tcBorders>
          </w:tcPr>
          <w:p>
            <w:pPr>
              <w:spacing w:after="0"/>
              <w:rPr>
                <w:sz w:val="19"/>
                <w:szCs w:val="19"/>
                <w:color w:val="auto"/>
              </w:rPr>
            </w:pPr>
          </w:p>
        </w:tc>
        <w:tc>
          <w:tcPr>
            <w:tcW w:w="1320" w:type="dxa"/>
            <w:vAlign w:val="bottom"/>
            <w:tcBorders>
              <w:left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22,502</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commitments</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30,151</w:t>
            </w:r>
          </w:p>
        </w:tc>
        <w:tc>
          <w:tcPr>
            <w:tcW w:w="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left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7,620</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72,830</w:t>
            </w:r>
          </w:p>
        </w:tc>
        <w:tc>
          <w:tcPr>
            <w:tcW w:w="40" w:type="dxa"/>
            <w:vAlign w:val="bottom"/>
            <w:tcBorders>
              <w:bottom w:val="single" w:sz="8" w:color="auto"/>
            </w:tcBorders>
          </w:tcPr>
          <w:p>
            <w:pPr>
              <w:spacing w:after="0"/>
              <w:rPr>
                <w:sz w:val="19"/>
                <w:szCs w:val="19"/>
                <w:color w:val="auto"/>
              </w:rPr>
            </w:pPr>
          </w:p>
        </w:tc>
        <w:tc>
          <w:tcPr>
            <w:tcW w:w="1320" w:type="dxa"/>
            <w:vAlign w:val="bottom"/>
            <w:tcBorders>
              <w:left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30,122</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left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Capital commitments</w:t>
            </w:r>
          </w:p>
        </w:tc>
        <w:tc>
          <w:tcPr>
            <w:tcW w:w="13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16,572</w:t>
            </w:r>
          </w:p>
        </w:tc>
        <w:tc>
          <w:tcPr>
            <w:tcW w:w="40" w:type="dxa"/>
            <w:vAlign w:val="bottom"/>
            <w:tcBorders>
              <w:bottom w:val="single" w:sz="8" w:color="auto"/>
            </w:tcBorders>
          </w:tcPr>
          <w:p>
            <w:pPr>
              <w:spacing w:after="0"/>
              <w:rPr>
                <w:sz w:val="19"/>
                <w:szCs w:val="19"/>
                <w:color w:val="auto"/>
              </w:rPr>
            </w:pPr>
          </w:p>
        </w:tc>
        <w:tc>
          <w:tcPr>
            <w:tcW w:w="1320" w:type="dxa"/>
            <w:vAlign w:val="bottom"/>
            <w:tcBorders>
              <w:left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commitments</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28,112</w:t>
            </w:r>
          </w:p>
        </w:tc>
        <w:tc>
          <w:tcPr>
            <w:tcW w:w="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left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20,403</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44,684</w:t>
            </w:r>
          </w:p>
        </w:tc>
        <w:tc>
          <w:tcPr>
            <w:tcW w:w="40" w:type="dxa"/>
            <w:vAlign w:val="bottom"/>
            <w:tcBorders>
              <w:bottom w:val="single" w:sz="8" w:color="auto"/>
            </w:tcBorders>
          </w:tcPr>
          <w:p>
            <w:pPr>
              <w:spacing w:after="0"/>
              <w:rPr>
                <w:sz w:val="19"/>
                <w:szCs w:val="19"/>
                <w:color w:val="auto"/>
              </w:rPr>
            </w:pPr>
          </w:p>
        </w:tc>
        <w:tc>
          <w:tcPr>
            <w:tcW w:w="1320" w:type="dxa"/>
            <w:vAlign w:val="bottom"/>
            <w:tcBorders>
              <w:left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60,403</w:t>
            </w:r>
          </w:p>
        </w:tc>
        <w:tc>
          <w:tcPr>
            <w:tcW w:w="0" w:type="dxa"/>
            <w:vAlign w:val="bottom"/>
          </w:tcPr>
          <w:p>
            <w:pPr>
              <w:spacing w:after="0"/>
              <w:rPr>
                <w:sz w:val="1"/>
                <w:szCs w:val="1"/>
                <w:color w:val="auto"/>
              </w:rPr>
            </w:pPr>
          </w:p>
        </w:tc>
      </w:tr>
      <w:tr>
        <w:trPr>
          <w:trHeight w:val="64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35.  Related party transactions</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35.1.Key management personnel compensation</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1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7200" w:type="dxa"/>
            <w:vAlign w:val="bottom"/>
            <w:tcBorders>
              <w:right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136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3,900,376</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3,092,881</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left w:val="single" w:sz="8" w:color="CCEEFF"/>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2,146,954</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Superannuation entitlements</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211,912</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159,017</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116,922</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36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2,373,261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1,167,650</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left w:val="single" w:sz="8" w:color="CCEEFF"/>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542,456</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6,485,549</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4,419,548</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2,806,332</w:t>
            </w:r>
          </w:p>
        </w:tc>
        <w:tc>
          <w:tcPr>
            <w:tcW w:w="0" w:type="dxa"/>
            <w:vAlign w:val="bottom"/>
          </w:tcPr>
          <w:p>
            <w:pPr>
              <w:spacing w:after="0"/>
              <w:rPr>
                <w:sz w:val="1"/>
                <w:szCs w:val="1"/>
                <w:color w:val="auto"/>
              </w:rPr>
            </w:pPr>
          </w:p>
        </w:tc>
      </w:tr>
      <w:tr>
        <w:trPr>
          <w:trHeight w:val="43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35.2.Transactions with other related parties</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1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7200" w:type="dxa"/>
            <w:vAlign w:val="bottom"/>
            <w:tcBorders>
              <w:right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Purchases of various goods and services from entities controlled by key management personnel</w:t>
            </w:r>
            <w:r>
              <w:rPr>
                <w:rFonts w:ascii="Times New Roman" w:cs="Times New Roman" w:eastAsia="Times New Roman" w:hAnsi="Times New Roman"/>
                <w:sz w:val="25"/>
                <w:szCs w:val="25"/>
                <w:color w:val="auto"/>
                <w:vertAlign w:val="superscript"/>
              </w:rPr>
              <w:t>1</w:t>
            </w:r>
          </w:p>
        </w:tc>
        <w:tc>
          <w:tcPr>
            <w:tcW w:w="136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778,617</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1,256,490</w:t>
            </w:r>
          </w:p>
        </w:tc>
        <w:tc>
          <w:tcPr>
            <w:tcW w:w="4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left w:val="single" w:sz="8" w:color="CCEEFF"/>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3,685,543</w:t>
            </w:r>
          </w:p>
        </w:tc>
        <w:tc>
          <w:tcPr>
            <w:tcW w:w="0" w:type="dxa"/>
            <w:vAlign w:val="bottom"/>
          </w:tcPr>
          <w:p>
            <w:pPr>
              <w:spacing w:after="0"/>
              <w:rPr>
                <w:sz w:val="1"/>
                <w:szCs w:val="1"/>
                <w:color w:val="auto"/>
              </w:rPr>
            </w:pPr>
          </w:p>
        </w:tc>
      </w:tr>
      <w:tr>
        <w:trPr>
          <w:trHeight w:val="216"/>
        </w:trPr>
        <w:tc>
          <w:tcPr>
            <w:tcW w:w="720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shd w:val="clear" w:color="auto" w:fill="000000"/>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80" w:hanging="172"/>
        <w:spacing w:after="0" w:line="270" w:lineRule="auto"/>
        <w:tabs>
          <w:tab w:leader="none" w:pos="18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Non-Executive Director, Dr. Andreas Kluge (previously a non-executive director, retired from the Board on October 17, 2024), is the principal owner and Geschäftsführer (Managing Director) of ABX-CRO, a clinical research organization (CRO) that specializes in radiopharmaceutical product development. Following retirement as a Non-Executive Director, Dr. Kluge has been engaged by Telix on a consultancy basis and will continue to provide the Board of Directors strategic advice alongside clinical input into key development programs, reflective of his ongoing importance as a founder of the Company.</w:t>
      </w:r>
    </w:p>
    <w:p>
      <w:pPr>
        <w:spacing w:after="0" w:line="2" w:lineRule="exact"/>
        <w:rPr>
          <w:rFonts w:ascii="Times New Roman" w:cs="Times New Roman" w:eastAsia="Times New Roman" w:hAnsi="Times New Roman"/>
          <w:sz w:val="17"/>
          <w:szCs w:val="17"/>
          <w:color w:val="auto"/>
        </w:rPr>
      </w:pPr>
    </w:p>
    <w:p>
      <w:pPr>
        <w:ind w:left="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During the year ended December 31, 2024, the total amount paid as part of this consultancy agreement was € nil, with €15,000 payable.</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March 2024, the Group entered into an agreement to purchase the QDOSE dosimetry software platform from ABX-CRO. QDOSE is a software platform designed to enable reliable estimation of patient-specific dosimetry for both therapeutic and diagnostic radiopharmaceuticals. We agreed to pay ABX-CRO upfront cash consideration of €1,200,000, a share of profits generated from QDOSE sales and a referral fee on deals referred from or initiated by ABX-CRO over a 2-year period from acquisition.</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2024, ABX-CRO was engaged to perform close out activities relating to the Phase 3 Zircon trial for TLX250-CDx, including delivery of dosimetry, PK evaluation, and the imaging report.</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total amount paid was $778,617 (2023: $1,256,490, 2022: $632,449) and the amount payable to ABX-CRO at December 31, 2024 was $nil (2023: $nil, 2022: $274,524) respectively. ABX-CRO’s fees and charges for activities undertaken in 2024 were on an arm’s length basis and competitive with quotes obtained from other CRO’s for similar services.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35.3.Interests in other entities</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Group’s principal subsidiaries at December 31, 2024 are set out below. Unless otherwise stated, they have share capital consisting solely of ordinary shares that are held directly by the Group, and the proportion of ownership interests held equals the voting rights held by the Group. The country of incorporation or registration is also the principal place of business.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336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16"/>
        </w:trPr>
        <w:tc>
          <w:tcPr>
            <w:tcW w:w="5660" w:type="dxa"/>
            <w:vAlign w:val="bottom"/>
            <w:tcBorders>
              <w:right w:val="single" w:sz="8" w:color="auto"/>
            </w:tcBorders>
          </w:tcPr>
          <w:p>
            <w:pPr>
              <w:spacing w:after="0"/>
              <w:rPr>
                <w:sz w:val="18"/>
                <w:szCs w:val="18"/>
                <w:color w:val="auto"/>
              </w:rPr>
            </w:pPr>
          </w:p>
        </w:tc>
        <w:tc>
          <w:tcPr>
            <w:tcW w:w="3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interest</w:t>
            </w:r>
          </w:p>
        </w:tc>
      </w:tr>
      <w:tr>
        <w:trPr>
          <w:trHeight w:val="216"/>
        </w:trPr>
        <w:tc>
          <w:tcPr>
            <w:tcW w:w="5660" w:type="dxa"/>
            <w:vAlign w:val="bottom"/>
            <w:tcBorders>
              <w:right w:val="single" w:sz="8" w:color="auto"/>
            </w:tcBorders>
          </w:tcPr>
          <w:p>
            <w:pPr>
              <w:spacing w:after="0"/>
              <w:rPr>
                <w:sz w:val="18"/>
                <w:szCs w:val="18"/>
                <w:color w:val="auto"/>
              </w:rPr>
            </w:pPr>
          </w:p>
        </w:tc>
        <w:tc>
          <w:tcPr>
            <w:tcW w:w="3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held by the</w:t>
            </w:r>
          </w:p>
        </w:tc>
      </w:tr>
      <w:tr>
        <w:trPr>
          <w:trHeight w:val="245"/>
        </w:trPr>
        <w:tc>
          <w:tcPr>
            <w:tcW w:w="5660" w:type="dxa"/>
            <w:vAlign w:val="bottom"/>
            <w:tcBorders>
              <w:bottom w:val="single" w:sz="8" w:color="auto"/>
              <w:right w:val="single" w:sz="8" w:color="auto"/>
            </w:tcBorders>
          </w:tcPr>
          <w:p>
            <w:pPr>
              <w:spacing w:after="0"/>
              <w:rPr>
                <w:sz w:val="21"/>
                <w:szCs w:val="21"/>
                <w:color w:val="auto"/>
              </w:rPr>
            </w:pPr>
          </w:p>
        </w:tc>
        <w:tc>
          <w:tcPr>
            <w:tcW w:w="3360" w:type="dxa"/>
            <w:vAlign w:val="bottom"/>
            <w:tcBorders>
              <w:bottom w:val="single" w:sz="8" w:color="auto"/>
              <w:right w:val="single" w:sz="8" w:color="auto"/>
            </w:tcBorders>
          </w:tcPr>
          <w:p>
            <w:pPr>
              <w:spacing w:after="0"/>
              <w:rPr>
                <w:sz w:val="21"/>
                <w:szCs w:val="21"/>
                <w:color w:val="auto"/>
              </w:rPr>
            </w:pPr>
          </w:p>
        </w:tc>
        <w:tc>
          <w:tcPr>
            <w:tcW w:w="2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Group (%)</w:t>
            </w:r>
          </w:p>
        </w:tc>
      </w:tr>
      <w:tr>
        <w:trPr>
          <w:trHeight w:val="223"/>
        </w:trPr>
        <w:tc>
          <w:tcPr>
            <w:tcW w:w="56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Ltd</w:t>
            </w:r>
          </w:p>
        </w:tc>
        <w:tc>
          <w:tcPr>
            <w:tcW w:w="3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Australia</w:t>
            </w:r>
          </w:p>
        </w:tc>
        <w:tc>
          <w:tcPr>
            <w:tcW w:w="2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Telix Pharmaceuticals (Innovations)</w:t>
            </w:r>
          </w:p>
        </w:tc>
        <w:tc>
          <w:tcPr>
            <w:tcW w:w="3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Australia</w:t>
            </w:r>
          </w:p>
        </w:tc>
        <w:tc>
          <w:tcPr>
            <w:tcW w:w="2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Holdings Pty Ltd</w:t>
            </w:r>
          </w:p>
        </w:tc>
        <w:tc>
          <w:tcPr>
            <w:tcW w:w="3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Australia</w:t>
            </w:r>
          </w:p>
        </w:tc>
        <w:tc>
          <w:tcPr>
            <w:tcW w:w="2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Telix Pharmaceuticals International Holdings Pty Ltd</w:t>
            </w:r>
          </w:p>
        </w:tc>
        <w:tc>
          <w:tcPr>
            <w:tcW w:w="3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Australia</w:t>
            </w:r>
          </w:p>
        </w:tc>
        <w:tc>
          <w:tcPr>
            <w:tcW w:w="2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Australia Holdings Pty Ltd</w:t>
            </w:r>
          </w:p>
        </w:tc>
        <w:tc>
          <w:tcPr>
            <w:tcW w:w="3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Australia</w:t>
            </w:r>
          </w:p>
        </w:tc>
        <w:tc>
          <w:tcPr>
            <w:tcW w:w="2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tcPr>
          <w:p>
            <w:pPr>
              <w:spacing w:after="0" w:line="216" w:lineRule="exact"/>
              <w:rPr>
                <w:sz w:val="20"/>
                <w:szCs w:val="20"/>
                <w:color w:val="auto"/>
              </w:rPr>
            </w:pPr>
            <w:r>
              <w:rPr>
                <w:rFonts w:ascii="Times New Roman" w:cs="Times New Roman" w:eastAsia="Times New Roman" w:hAnsi="Times New Roman"/>
                <w:sz w:val="16"/>
                <w:szCs w:val="16"/>
                <w:color w:val="auto"/>
              </w:rPr>
              <w:t>Telix Pharmaceuticals (ANZ) Pty Ltd</w:t>
            </w:r>
            <w:r>
              <w:rPr>
                <w:rFonts w:ascii="Times New Roman" w:cs="Times New Roman" w:eastAsia="Times New Roman" w:hAnsi="Times New Roman"/>
                <w:sz w:val="25"/>
                <w:szCs w:val="25"/>
                <w:color w:val="auto"/>
                <w:vertAlign w:val="superscript"/>
              </w:rPr>
              <w:t>1</w:t>
            </w:r>
          </w:p>
        </w:tc>
        <w:tc>
          <w:tcPr>
            <w:tcW w:w="3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Australia</w:t>
            </w:r>
          </w:p>
        </w:tc>
        <w:tc>
          <w:tcPr>
            <w:tcW w:w="2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(Corporate) Pty Ltd</w:t>
            </w:r>
          </w:p>
        </w:tc>
        <w:tc>
          <w:tcPr>
            <w:tcW w:w="3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Australia</w:t>
            </w:r>
          </w:p>
        </w:tc>
        <w:tc>
          <w:tcPr>
            <w:tcW w:w="2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Telix Pharmaceuticals (Belgium) SRL</w:t>
            </w:r>
          </w:p>
        </w:tc>
        <w:tc>
          <w:tcPr>
            <w:tcW w:w="3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Belgium</w:t>
            </w:r>
          </w:p>
        </w:tc>
        <w:tc>
          <w:tcPr>
            <w:tcW w:w="2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Innovations SA</w:t>
            </w:r>
          </w:p>
        </w:tc>
        <w:tc>
          <w:tcPr>
            <w:tcW w:w="3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Belgium</w:t>
            </w:r>
          </w:p>
        </w:tc>
        <w:tc>
          <w:tcPr>
            <w:tcW w:w="2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Telix Innovations Rph Participacoes Ltda</w:t>
            </w:r>
          </w:p>
        </w:tc>
        <w:tc>
          <w:tcPr>
            <w:tcW w:w="3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Brazil</w:t>
            </w:r>
          </w:p>
        </w:tc>
        <w:tc>
          <w:tcPr>
            <w:tcW w:w="2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56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(Canada) Inc.</w:t>
            </w:r>
          </w:p>
        </w:tc>
        <w:tc>
          <w:tcPr>
            <w:tcW w:w="3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2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Telix ARTMS Inc.</w:t>
            </w:r>
          </w:p>
        </w:tc>
        <w:tc>
          <w:tcPr>
            <w:tcW w:w="3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2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(France) SAS</w:t>
            </w:r>
          </w:p>
        </w:tc>
        <w:tc>
          <w:tcPr>
            <w:tcW w:w="3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2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Telix Pharmaceuticals (Germany) GmbH</w:t>
            </w:r>
          </w:p>
        </w:tc>
        <w:tc>
          <w:tcPr>
            <w:tcW w:w="3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2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64"/>
        </w:trPr>
        <w:tc>
          <w:tcPr>
            <w:tcW w:w="5660" w:type="dxa"/>
            <w:vAlign w:val="bottom"/>
            <w:tcBorders>
              <w:bottom w:val="single" w:sz="8" w:color="auto"/>
              <w:right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Rhine Pharma GmbH</w:t>
            </w:r>
            <w:r>
              <w:rPr>
                <w:rFonts w:ascii="Times New Roman" w:cs="Times New Roman" w:eastAsia="Times New Roman" w:hAnsi="Times New Roman"/>
                <w:sz w:val="29"/>
                <w:szCs w:val="29"/>
                <w:color w:val="auto"/>
                <w:vertAlign w:val="superscript"/>
              </w:rPr>
              <w:t>1</w:t>
            </w:r>
          </w:p>
        </w:tc>
        <w:tc>
          <w:tcPr>
            <w:tcW w:w="3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2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Therapeia GmbH &amp; Co. KG</w:t>
            </w:r>
          </w:p>
        </w:tc>
        <w:tc>
          <w:tcPr>
            <w:tcW w:w="3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2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Therapeia Verwaltungs-GmbH</w:t>
            </w:r>
          </w:p>
        </w:tc>
        <w:tc>
          <w:tcPr>
            <w:tcW w:w="3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2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63"/>
        </w:trPr>
        <w:tc>
          <w:tcPr>
            <w:tcW w:w="5660" w:type="dxa"/>
            <w:vAlign w:val="bottom"/>
            <w:tcBorders>
              <w:bottom w:val="single" w:sz="8" w:color="auto"/>
              <w:right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Dedicaid GmbH</w:t>
            </w:r>
            <w:r>
              <w:rPr>
                <w:rFonts w:ascii="Times New Roman" w:cs="Times New Roman" w:eastAsia="Times New Roman" w:hAnsi="Times New Roman"/>
                <w:sz w:val="29"/>
                <w:szCs w:val="29"/>
                <w:color w:val="auto"/>
                <w:vertAlign w:val="superscript"/>
              </w:rPr>
              <w:t>2</w:t>
            </w:r>
          </w:p>
        </w:tc>
        <w:tc>
          <w:tcPr>
            <w:tcW w:w="3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Austria</w:t>
            </w:r>
          </w:p>
        </w:tc>
        <w:tc>
          <w:tcPr>
            <w:tcW w:w="2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 Japan KK</w:t>
            </w:r>
          </w:p>
        </w:tc>
        <w:tc>
          <w:tcPr>
            <w:tcW w:w="3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Japan</w:t>
            </w:r>
          </w:p>
        </w:tc>
        <w:tc>
          <w:tcPr>
            <w:tcW w:w="2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Telix Pharmaceuticals (NZ) Ltd</w:t>
            </w:r>
          </w:p>
        </w:tc>
        <w:tc>
          <w:tcPr>
            <w:tcW w:w="3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New Zealand</w:t>
            </w:r>
          </w:p>
        </w:tc>
        <w:tc>
          <w:tcPr>
            <w:tcW w:w="2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(Singapore) Pte Ltd</w:t>
            </w:r>
          </w:p>
        </w:tc>
        <w:tc>
          <w:tcPr>
            <w:tcW w:w="3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Singapore</w:t>
            </w:r>
          </w:p>
        </w:tc>
        <w:tc>
          <w:tcPr>
            <w:tcW w:w="2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Telix Pharmaceuticals (Switzerland) GmbH</w:t>
            </w:r>
          </w:p>
        </w:tc>
        <w:tc>
          <w:tcPr>
            <w:tcW w:w="3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Switzerland</w:t>
            </w:r>
          </w:p>
        </w:tc>
        <w:tc>
          <w:tcPr>
            <w:tcW w:w="2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(UK) Ltd</w:t>
            </w:r>
          </w:p>
        </w:tc>
        <w:tc>
          <w:tcPr>
            <w:tcW w:w="3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c>
          <w:tcPr>
            <w:tcW w:w="2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Lightpoint Surgical Ltd</w:t>
            </w:r>
          </w:p>
        </w:tc>
        <w:tc>
          <w:tcPr>
            <w:tcW w:w="3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c>
          <w:tcPr>
            <w:tcW w:w="2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Lightpoint Surgical Spain S.L. (Lightpoint Medical Espana SLU)</w:t>
            </w:r>
          </w:p>
        </w:tc>
        <w:tc>
          <w:tcPr>
            <w:tcW w:w="3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Spain</w:t>
            </w:r>
          </w:p>
        </w:tc>
        <w:tc>
          <w:tcPr>
            <w:tcW w:w="2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Telix Pharmaceuticals (US) Inc.</w:t>
            </w:r>
          </w:p>
        </w:tc>
        <w:tc>
          <w:tcPr>
            <w:tcW w:w="3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2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Optimal Tracers, LLC</w:t>
            </w:r>
          </w:p>
        </w:tc>
        <w:tc>
          <w:tcPr>
            <w:tcW w:w="3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2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Telix IsoTherapeutics Group, Inc.</w:t>
            </w:r>
          </w:p>
        </w:tc>
        <w:tc>
          <w:tcPr>
            <w:tcW w:w="3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2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QSAM, Inc.</w:t>
            </w:r>
          </w:p>
        </w:tc>
        <w:tc>
          <w:tcPr>
            <w:tcW w:w="3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2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QSAM Therapeutics Inc.</w:t>
            </w:r>
          </w:p>
        </w:tc>
        <w:tc>
          <w:tcPr>
            <w:tcW w:w="3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2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ARTMS US, Inc.</w:t>
            </w:r>
          </w:p>
        </w:tc>
        <w:tc>
          <w:tcPr>
            <w:tcW w:w="3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2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ind w:left="180" w:right="20" w:hanging="172"/>
        <w:spacing w:after="0" w:line="261" w:lineRule="auto"/>
        <w:tabs>
          <w:tab w:leader="none" w:pos="1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plans to spin off this entity and has granted options to certain third parties to acquire an economic interest in the entity once key milestones are achieved.</w:t>
      </w:r>
    </w:p>
    <w:p>
      <w:pPr>
        <w:ind w:left="180" w:hanging="172"/>
        <w:spacing w:after="0"/>
        <w:tabs>
          <w:tab w:leader="none" w:pos="1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initiated liquidation of this entity, with the assets to be transferred to Lightpoint Surgical Ltd.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3" w:name="page314"/>
    <w:bookmarkEnd w:id="31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36.  Remuneration of auditor</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Auditors of the Group - PricewaterhouseCoopers Australia and related network firms</w:t>
            </w:r>
          </w:p>
        </w:tc>
        <w:tc>
          <w:tcPr>
            <w:tcW w:w="20" w:type="dxa"/>
            <w:vAlign w:val="bottom"/>
          </w:tcPr>
          <w:p>
            <w:pPr>
              <w:spacing w:after="0"/>
              <w:rPr>
                <w:sz w:val="18"/>
                <w:szCs w:val="18"/>
                <w:color w:val="auto"/>
              </w:rPr>
            </w:pPr>
          </w:p>
        </w:tc>
        <w:tc>
          <w:tcPr>
            <w:tcW w:w="1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7180" w:type="dxa"/>
            <w:vAlign w:val="bottom"/>
            <w:gridSpan w:val="2"/>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gridSpan w:val="2"/>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or review of financial statements</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2,066,123</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1,380,000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367,200</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assurance services</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2,303,600</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170,000</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advisory services</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125,900</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291,861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156,857</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4,495,623</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1,841,861</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524,057</w:t>
            </w:r>
          </w:p>
        </w:tc>
        <w:tc>
          <w:tcPr>
            <w:tcW w:w="0" w:type="dxa"/>
            <w:vAlign w:val="bottom"/>
          </w:tcPr>
          <w:p>
            <w:pPr>
              <w:spacing w:after="0"/>
              <w:rPr>
                <w:sz w:val="1"/>
                <w:szCs w:val="1"/>
                <w:color w:val="auto"/>
              </w:rPr>
            </w:pPr>
          </w:p>
        </w:tc>
      </w:tr>
      <w:tr>
        <w:trPr>
          <w:trHeight w:val="216"/>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auditors and their related network firms</w:t>
            </w:r>
          </w:p>
        </w:tc>
        <w:tc>
          <w:tcPr>
            <w:tcW w:w="20" w:type="dxa"/>
            <w:vAlign w:val="bottom"/>
          </w:tcPr>
          <w:p>
            <w:pPr>
              <w:spacing w:after="0"/>
              <w:rPr>
                <w:sz w:val="18"/>
                <w:szCs w:val="18"/>
                <w:color w:val="auto"/>
              </w:rPr>
            </w:pPr>
          </w:p>
        </w:tc>
        <w:tc>
          <w:tcPr>
            <w:tcW w:w="1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7180" w:type="dxa"/>
            <w:vAlign w:val="bottom"/>
            <w:gridSpan w:val="2"/>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7180" w:type="dxa"/>
            <w:vAlign w:val="bottom"/>
            <w:gridSpan w:val="2"/>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w:t>
            </w:r>
          </w:p>
        </w:tc>
        <w:tc>
          <w:tcPr>
            <w:tcW w:w="20" w:type="dxa"/>
            <w:vAlign w:val="bottom"/>
            <w:shd w:val="clear" w:color="auto" w:fill="000000"/>
          </w:tcPr>
          <w:p>
            <w:pPr>
              <w:spacing w:after="0"/>
              <w:rPr>
                <w:sz w:val="8"/>
                <w:szCs w:val="8"/>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w:t>
            </w:r>
          </w:p>
        </w:tc>
        <w:tc>
          <w:tcPr>
            <w:tcW w:w="20" w:type="dxa"/>
            <w:vAlign w:val="bottom"/>
            <w:shd w:val="clear" w:color="auto" w:fill="000000"/>
          </w:tcPr>
          <w:p>
            <w:pPr>
              <w:spacing w:after="0"/>
              <w:rPr>
                <w:sz w:val="8"/>
                <w:szCs w:val="8"/>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128"/>
        </w:trPr>
        <w:tc>
          <w:tcPr>
            <w:tcW w:w="1020" w:type="dxa"/>
            <w:vAlign w:val="bottom"/>
            <w:tcBorders>
              <w:bottom w:val="single" w:sz="8" w:color="auto"/>
            </w:tcBorders>
          </w:tcPr>
          <w:p>
            <w:pPr>
              <w:spacing w:after="0"/>
              <w:rPr>
                <w:sz w:val="11"/>
                <w:szCs w:val="11"/>
                <w:color w:val="auto"/>
              </w:rPr>
            </w:pPr>
          </w:p>
        </w:tc>
        <w:tc>
          <w:tcPr>
            <w:tcW w:w="6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38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or review of financial statements</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46,017</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52,538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89,621</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advisory services</w:t>
            </w: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9,435</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shd w:val="clear" w:color="auto" w:fill="CCEEFF"/>
          </w:tcPr>
          <w:p>
            <w:pPr>
              <w:spacing w:after="0"/>
              <w:rPr>
                <w:sz w:val="19"/>
                <w:szCs w:val="19"/>
                <w:color w:val="auto"/>
              </w:rPr>
            </w:pPr>
          </w:p>
        </w:tc>
        <w:tc>
          <w:tcPr>
            <w:tcW w:w="61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46,017</w:t>
            </w:r>
          </w:p>
        </w:tc>
        <w:tc>
          <w:tcPr>
            <w:tcW w:w="20" w:type="dxa"/>
            <w:vAlign w:val="bottom"/>
            <w:tcBorders>
              <w:bottom w:val="single" w:sz="8" w:color="auto"/>
            </w:tcBorders>
            <w:shd w:val="clear" w:color="auto" w:fill="000000"/>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52,538</w:t>
            </w:r>
          </w:p>
        </w:tc>
        <w:tc>
          <w:tcPr>
            <w:tcW w:w="20" w:type="dxa"/>
            <w:vAlign w:val="bottom"/>
            <w:tcBorders>
              <w:bottom w:val="single" w:sz="8" w:color="auto"/>
            </w:tcBorders>
            <w:shd w:val="clear" w:color="auto" w:fill="000000"/>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99,056</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37.</w:t>
        <w:tab/>
        <w:t>Events occurring after the reporting period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37.1.Acquisition of RLS (USA), Inc</w:t>
      </w:r>
    </w:p>
    <w:p>
      <w:pPr>
        <w:spacing w:after="0" w:line="225"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On January 28, 2025, Telix completed the acquisition of RLS (USA), Inc (RLS), a radiopharmacy network distributing PET, SPECT and therapeutic radiopharmaceuticals. The acquisition of RLS is aligned to Telix’s investment strategy around vertically integrated supply chain, manufacturing, and distribution, further enabling the delivery of future clinical and commercial radiopharmaceutical products.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total consideration of US$230 million was paid in cash. A further US$20 million is payable in cash, contingent on achievement of certain milestones related to demonstration of accretive financial and operational performance during the four-quarters following closing.</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consideration paid for RLS, the fair value of assets acquired and liabilities assumed at the acquisition date. These balances are provisional and subject to change within the 12 month measurement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40" w:type="dxa"/>
            <w:vAlign w:val="bottom"/>
            <w:tcBorders>
              <w:right w:val="single" w:sz="8" w:color="auto"/>
            </w:tcBorders>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Provisional</w:t>
            </w:r>
          </w:p>
        </w:tc>
      </w:tr>
      <w:tr>
        <w:trPr>
          <w:trHeight w:val="216"/>
        </w:trPr>
        <w:tc>
          <w:tcPr>
            <w:tcW w:w="9840" w:type="dxa"/>
            <w:vAlign w:val="bottom"/>
            <w:tcBorders>
              <w:right w:val="single" w:sz="8" w:color="auto"/>
            </w:tcBorders>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5"/>
        </w:trPr>
        <w:tc>
          <w:tcPr>
            <w:tcW w:w="9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A$’000</w:t>
            </w:r>
          </w:p>
        </w:tc>
      </w:tr>
      <w:tr>
        <w:trPr>
          <w:trHeight w:val="223"/>
        </w:trPr>
        <w:tc>
          <w:tcPr>
            <w:tcW w:w="9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371,327</w:t>
            </w:r>
          </w:p>
        </w:tc>
      </w:tr>
      <w:tr>
        <w:trPr>
          <w:trHeight w:val="223"/>
        </w:trPr>
        <w:tc>
          <w:tcPr>
            <w:tcW w:w="9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32,289</w:t>
            </w:r>
          </w:p>
        </w:tc>
      </w:tr>
      <w:tr>
        <w:trPr>
          <w:trHeight w:val="223"/>
        </w:trPr>
        <w:tc>
          <w:tcPr>
            <w:tcW w:w="9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403,616</w:t>
            </w:r>
          </w:p>
        </w:tc>
      </w:tr>
      <w:tr>
        <w:trPr>
          <w:trHeight w:val="223"/>
        </w:trPr>
        <w:tc>
          <w:tcPr>
            <w:tcW w:w="9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Estimated amounts of identifiable assets acquired and liabilities assumed</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39,667</w:t>
            </w:r>
          </w:p>
        </w:tc>
      </w:tr>
      <w:tr>
        <w:trPr>
          <w:trHeight w:val="223"/>
        </w:trPr>
        <w:tc>
          <w:tcPr>
            <w:tcW w:w="9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identifiable assets and liabilities</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39,667</w:t>
            </w:r>
          </w:p>
        </w:tc>
      </w:tr>
      <w:tr>
        <w:trPr>
          <w:trHeight w:val="223"/>
        </w:trPr>
        <w:tc>
          <w:tcPr>
            <w:tcW w:w="9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363,949</w:t>
            </w:r>
          </w:p>
        </w:tc>
      </w:tr>
      <w:tr>
        <w:trPr>
          <w:trHeight w:val="223"/>
        </w:trPr>
        <w:tc>
          <w:tcPr>
            <w:tcW w:w="9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403,616</w:t>
            </w:r>
          </w:p>
        </w:tc>
      </w:tr>
    </w:tbl>
    <w:p>
      <w:pPr>
        <w:spacing w:after="0" w:line="19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goodwill arising is attributable to the acquired workforce, anticipated future cost savings from utilizing RLS distribution network and synergies of integrating the business within the Group. The goodwill arising from the acquisition has been allocated to the Manufacturing Solutions CGU.</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37.2 Acquisition of assets from ImaginAb, Inc. (ImaginAb)</w:t>
      </w:r>
    </w:p>
    <w:p>
      <w:pPr>
        <w:spacing w:after="0" w:line="225"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On January 30, 2025, Telix completed the acquisition of a pipeline of next-generation therapeutic candidates, proprietary novel biologics technology platform, and a protein engineering and discovery research facility to enhance existing innovation capabilities from antibody engineering company ImaginAb.</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purchase price for the transaction is US$45 million comprised US$10 million in cash and US$31 million in equity at closing, and a deferred payment of up to US$4 million in equity at the conclusion of a 15-month indemnity period.</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Upon achievement of specific key development and commercial milestones, Telix will pay up to a total of US$185 million, a portion of which may be paid in cash or equity at Telix’s election. Royalties are also payable on net sales in the low single digits on a limited number of platform and early-stage products after the first four products have been developed, as well as single-digit sublicense fees, as applicable. The acquisition will be allocated to the Therapeutics operating segment.</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Telix Managing Director and Group Chief Executive Officer, Dr. Christian Behrenbruch, is a non-affiliated shareholder of ImaginAb, holding less than 1% of its capital stock as his only interest in the company. Dr. Behrenbruch abstained from the transaction process and the Telix Board’s approval of the arm’s length acquisition. Dr. Behrenbruch has voluntarily elected, via a binding undertaking, to donate any enrichment from the transaction as the result of his shareholding to charity.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37.3 European approvals for Illuccix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Illuccix was approved in Denmark</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the United Kingdom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Noway</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in February 2025.</w:t>
      </w:r>
    </w:p>
    <w:p>
      <w:pPr>
        <w:spacing w:after="0" w:line="135"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auto"/>
        </w:rPr>
        <w:t>This follows a positive decision from The German Federal Institute for Drugs and Medical Devices (Bundesinstitut für Arzneimittel und Medizinprodukte, or BfArM)</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on Telix's Marketing Authorization Application, or MAA, which was submitted in Europe via a decentralized procedure, or DCP.</w:t>
      </w:r>
    </w:p>
    <w:p>
      <w:pPr>
        <w:spacing w:after="0" w:line="31" w:lineRule="exact"/>
        <w:rPr>
          <w:sz w:val="20"/>
          <w:szCs w:val="20"/>
          <w:color w:val="auto"/>
        </w:rPr>
      </w:pPr>
    </w:p>
    <w:p>
      <w:pPr>
        <w:ind w:left="380" w:hanging="372"/>
        <w:spacing w:after="0"/>
        <w:tabs>
          <w:tab w:leader="none" w:pos="3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Telix media release February 11, 2025.</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Telix SEC Form 6-K as filed February 13, 2025.</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Telix SEC Form 6-K as filed February 24, 2025.</w:t>
      </w:r>
    </w:p>
    <w:p>
      <w:pPr>
        <w:sectPr>
          <w:pgSz w:w="11900" w:h="16838" w:orient="portrait"/>
          <w:cols w:equalWidth="0" w:num="1">
            <w:col w:w="11240"/>
          </w:cols>
          <w:pgMar w:left="320" w:top="114" w:right="339" w:bottom="0" w:gutter="0" w:footer="0" w:header="0"/>
        </w:sectPr>
      </w:pPr>
    </w:p>
    <w:bookmarkStart w:id="314" w:name="page315"/>
    <w:bookmarkEnd w:id="314"/>
    <w:p>
      <w:pPr>
        <w:ind w:right="7280" w:firstLine="8"/>
        <w:spacing w:after="0" w:line="500" w:lineRule="auto"/>
        <w:tabs>
          <w:tab w:leader="none" w:pos="37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Telix SEC Form 6-K as filed January 17, 2025. 37.4 Other</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other subsequent events that required adjustment to or disclosure in the financial statements of the Group for the year ended December 31, 2024.</w:t>
      </w:r>
    </w:p>
    <w:p>
      <w:pPr>
        <w:spacing w:after="0" w:line="3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w:t>
      </w:r>
    </w:p>
    <w:p>
      <w:pPr>
        <w:spacing w:after="0" w:line="22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AMERICAN DEPOSITARY RECEIPTS</w:t>
      </w:r>
    </w:p>
    <w:p>
      <w:pPr>
        <w:spacing w:after="0" w:line="22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have appointed JPMorgan Chase Bank, N.A. (“JPMorgan”) as depositary. The depositary's office is located at 383 Madison Avenue, Floor 11, New York, NY 10179. A copy of the form of the deposit agreement is on file with the Securities and Exchange Commission (“SEC”) under cover of a registration statement on Form F-6. A copy of the deposit agreement is available from the SEC's website (www.sec.gov). Please refer to registration number 333-282705 when retrieving such copy. A copy of the form of deposit agreement has also been incorporated by reference as an exhibit to this Annual Report on Form 20-F.</w:t>
      </w:r>
    </w:p>
    <w:p>
      <w:pPr>
        <w:spacing w:after="0" w:line="18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Each American Depositary Share (“ADS”) represents an ownership interest in a designated number of ordinary shares deposited with the custodian, as agent of the depositary, under the deposit agreement among ourselves, the depositary, all holders of American Depositary Receipts (“ADRs”), and all beneficial owners of an interest in the ADSs evidenced by ADRs from time to time. Each ADS also represents any securities, cash or other property deposited with the depositary but which have not been distributed directly to the holders. The initial ADS-to-ordinary share ratio is 1:1. The ADS-to-ordinary share ratio is subject to amendment as provided in the form of ADR (which may give rise to fees contemplated by the form of ADR).</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 beneficial owner is any person or entity having a beneficial ownership interest in ADSs. A beneficial owner need not be the holder of the ADR evidencing such ADS. If a beneficial owner is not an ADR holder, it must rely on the holder of the ADR(s) evidencing such ADSs in order to assert any rights or receive any benefits under the deposit agreement. A beneficial owner shall only be able to exercise any right or receive any benefit under the deposit agreement solely through the holder of the ADR(s) evidencing the ADSs owned by such beneficial owner. The arrangements between a beneficial owner and the holder of the corresponding ADRs may affect the beneficial owner's ability to exercise any rights it may have.</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Unless certificated ADRs are specifically requested, all ADSs will be issued on the books of our depositary in book-entry form and periodic statements will be mailed to you which reflect your ownership interest in such ADSs. In our description, references to ADRs shall include the statements you will receive that reflect a holder’s ownership of ADSs.</w:t>
      </w:r>
    </w:p>
    <w:p>
      <w:pPr>
        <w:spacing w:after="0" w:line="1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an ADR holder or beneficial owner, we will not treat you as a shareholder of ours and you will not have any shareholder rights. Australian law governs shareholder rights. Because the depositary or its nominee will be the shareholder of record for the shares represented by all outstanding ADSs, shareholder rights rest with such record holder. Your rights are those of an ADR holder or of a beneficial owner. Such rights derive from the terms of the deposit agreement by and among us, the depositary and all holders and beneficial owners from time to time of ADRs issued under the deposit agreement and, in the case of a beneficial owner, from the arrangements between the beneficial owner and the holder of the corresponding ADRs. The obligations of our company and the depositary and its agents are also set out in the deposit agreement. Because the depositary or its nominee will actually be the registered owner of the ordinary shares, you must rely on it to exercise the rights of a shareholder on your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16" w:name="page317"/>
    <w:bookmarkEnd w:id="316"/>
    <w:p>
      <w:pPr>
        <w:ind w:right="140"/>
        <w:spacing w:after="0" w:line="266" w:lineRule="auto"/>
        <w:rPr>
          <w:sz w:val="20"/>
          <w:szCs w:val="20"/>
          <w:color w:val="auto"/>
        </w:rPr>
      </w:pPr>
      <w:r>
        <w:rPr>
          <w:rFonts w:ascii="Times New Roman" w:cs="Times New Roman" w:eastAsia="Times New Roman" w:hAnsi="Times New Roman"/>
          <w:sz w:val="18"/>
          <w:szCs w:val="18"/>
          <w:color w:val="auto"/>
        </w:rPr>
        <w:t>The deposit agreement, the ADRs and the ADSs are governed by the internal laws of the State of New York without giving effect to the application of the conflict of law principles thereof. The rights of holders of ordinary shares (including ordinary shares represented by ADSs) is governed by the laws of Australia.</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that contains the terms of your ADSs.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Deposited Securities,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will I receive dividends and other distributions on the ordinary shares underlying my ADSs?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may make various types of distributions with respect to our securities. The depositary has agreed that, to the extent practicable, it will pay to you the cash dividends or other distributions it or the custodian receives on ordinary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to direct, manage and/or execute any public and/or private sale of securities and/or property under the deposit agreement. Such division, branch and/or affiliate may charge the depositary a fee in connection with such sales, which fee is considered an expense of the depositary chargeable to holders of ADSs. All sales of securities will be handled by the depositary in accordance with its then current policies. You will receive these distributions in proportion to the number of underlying securities that your ADSs represent. In all instances where the deposit agreement or an ADR refers to a “sale” (or words of similar import) of securities or property, the depositary may, but shall not be obligated, to effect any such sale unless the securities to be sold are listed and publicly traded on a securities exchange or there is a public market for the property to be sold. To the extent the securities are not so listed and publicly traded or there is no public market for the property so distributed by us: (i) the depositary shall, in the event the deposit agreement is terminated and the depositary holds deposited securities that are not listed and publicly traded after the termination date of the deposit agreement, act in accordance with the termination provisions of the deposit agreement and form of ADR in respect of such securities and property; and (ii) in the event the depositary or its custodian receives a distribution other than cash, our ordinary shares and/or rights to acquire our ordinary shares, and such distribution consists of securities or property that are not distributed by the depositary the depositary will be deemed to have sold the aggregate number of securities and/or property so received for nominal value and shall have no obligation to distribute such securities or any proceeds from the deemed sale thereof to the ADR holders. Furthermore, in the event the depositary endeavors to make a sale of ordinary shares, other securities or property, such securities and/or property may be sold in a block sale or single lot transaction.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stated below, the depositary will deliver such distributions to ADR holders in proportion to their interests in the following manner:</w:t>
      </w:r>
    </w:p>
    <w:p>
      <w:pPr>
        <w:spacing w:after="0" w:line="223" w:lineRule="exact"/>
        <w:rPr>
          <w:sz w:val="20"/>
          <w:szCs w:val="20"/>
          <w:color w:val="auto"/>
        </w:rPr>
      </w:pPr>
    </w:p>
    <w:p>
      <w:pPr>
        <w:ind w:left="660" w:right="60" w:hanging="328"/>
        <w:spacing w:after="0" w:line="253" w:lineRule="auto"/>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depositary will distribute any U.S. dollars available to it resulting from a cash dividend or other cash distribution or the net proceeds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of any other distribution or portion thereof (to the extent applicable), on an averaged or other practicable basis, subject to (i) appropriate adjustments for taxes withheld, (ii) such distribution being permissible or practicable with respect to certain registered ADR holders, and (iii) deduction of the depositary's and/or its agents' fees and expenses in (a) converting any foreign currency to U.S. dollars to the extent that it determines that such conversion may be made on a reasonable basis, (b) transferring foreign currency or U.S. dollars to the United States by such means as the depositary may determine to the extent that it determines that such transfer may be made on a reasonable basis, (c) obtaining any approval or license of any governmental authority required for such conversion or transfer, which is obtainable at a reasonable cost and within a reasonable time and (d) making any sale by public or private means in any commercially reasonable manner. To the extent that any of the deposited securities is not or shall not be entitled, by reason of its date of issuance, or otherwise, to receive the full amount of such cash dividend, distribution, or net proceeds of sales, the depositary shall make appropriate adjustments in the amounts distributed to the ADR holders issued in respect of such deposited securities. To the extent we or the depositary shall be required to withhold and do withhold from any cash dividend, distribution or net proceeds from sales in respect of any deposited securities an amount on account of taxes, the amount distributed on the ADSs issued in respect of such deposited securities shall be reduced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7" w:name="page318"/>
    <w:bookmarkEnd w:id="317"/>
    <w:p>
      <w:pPr>
        <w:ind w:left="660" w:right="80"/>
        <w:spacing w:after="0" w:line="254" w:lineRule="auto"/>
        <w:rPr>
          <w:sz w:val="20"/>
          <w:szCs w:val="20"/>
          <w:color w:val="auto"/>
        </w:rPr>
      </w:pPr>
      <w:r>
        <w:rPr>
          <w:rFonts w:ascii="Times New Roman" w:cs="Times New Roman" w:eastAsia="Times New Roman" w:hAnsi="Times New Roman"/>
          <w:sz w:val="18"/>
          <w:szCs w:val="18"/>
          <w:color w:val="auto"/>
        </w:rPr>
        <w:t xml:space="preserve">To the extent the depositary determines in its discretion that it would not be permitted by applicable law, rule or regulation, or it would not otherwise be practicable, to convert foreign currency into U.S. dollars and distribute such U.S. dollars to some or all of the ADR holders entitled thereto, the depositary may in its discretion distribute some or all of the foreign currency received by the depositary as it deems permissible and practicable to, or retain and hold such foreign currency uninvested and without liability for interest thereon for the respective accounts of, the ADR holders entitled to receive the same. To the extent the depositary retains and holds any cash, foreign currency, securities or other property as permitted under the deposit agreement, any and all fees, charges and expenses related to, or arising from, the holding thereof shall be paid from such cash, foreign currency, securities or other property, or the net proceeds from the sale thereof, thereby reducing the amount so held. </w:t>
      </w:r>
      <w:r>
        <w:rPr>
          <w:rFonts w:ascii="Times New Roman" w:cs="Times New Roman" w:eastAsia="Times New Roman" w:hAnsi="Times New Roman"/>
          <w:sz w:val="18"/>
          <w:szCs w:val="18"/>
          <w:i w:val="1"/>
          <w:iCs w:val="1"/>
          <w:color w:val="auto"/>
        </w:rPr>
        <w:t>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rates fluctuate during a time when the depositary cannot convert a foreign currency, you may lose some or all of the value of the distribution.</w:t>
      </w:r>
    </w:p>
    <w:p>
      <w:pPr>
        <w:spacing w:after="0" w:line="186" w:lineRule="exact"/>
        <w:rPr>
          <w:sz w:val="20"/>
          <w:szCs w:val="20"/>
          <w:color w:val="auto"/>
        </w:rPr>
      </w:pPr>
    </w:p>
    <w:p>
      <w:pPr>
        <w:ind w:left="660" w:right="40" w:hanging="328"/>
        <w:spacing w:after="0" w:line="267" w:lineRule="auto"/>
        <w:tabs>
          <w:tab w:leader="none" w:pos="6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In the case of a distribution in ordinary shares, the depositary will issue additional ADRs to evidence the number of ADSs representing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ordinary shares. Only whole ADSs will be issued. Any ordinary shares that would result in fractional ADSs will be sold and the net proceeds of the public or private sales of such will be distributed in the same manner as cash to the ADR holders entitled thereto.</w:t>
      </w:r>
    </w:p>
    <w:p>
      <w:pPr>
        <w:spacing w:after="0" w:line="173" w:lineRule="exact"/>
        <w:rPr>
          <w:rFonts w:ascii="Times New Roman" w:cs="Times New Roman" w:eastAsia="Times New Roman" w:hAnsi="Times New Roman"/>
          <w:sz w:val="18"/>
          <w:szCs w:val="18"/>
          <w:color w:val="auto"/>
        </w:rPr>
      </w:pPr>
    </w:p>
    <w:p>
      <w:pPr>
        <w:ind w:left="660" w:right="100" w:hanging="328"/>
        <w:spacing w:after="0" w:line="290" w:lineRule="auto"/>
        <w:tabs>
          <w:tab w:leader="none" w:pos="660"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Rights to receive additional ordinary shares</w:t>
      </w:r>
      <w:r>
        <w:rPr>
          <w:rFonts w:ascii="Times New Roman" w:cs="Times New Roman" w:eastAsia="Times New Roman" w:hAnsi="Times New Roman"/>
          <w:sz w:val="17"/>
          <w:szCs w:val="17"/>
          <w:color w:val="auto"/>
        </w:rPr>
        <w:t>. In the case of a distribution of rights to subscribe for additional ordinary shares or other rights, if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timely 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157" w:lineRule="exact"/>
        <w:rPr>
          <w:rFonts w:ascii="Times New Roman" w:cs="Times New Roman" w:eastAsia="Times New Roman" w:hAnsi="Times New Roman"/>
          <w:sz w:val="17"/>
          <w:szCs w:val="17"/>
          <w:color w:val="auto"/>
        </w:rPr>
      </w:pPr>
    </w:p>
    <w:p>
      <w:pPr>
        <w:ind w:left="980" w:right="360" w:hanging="324"/>
        <w:spacing w:after="0" w:line="282" w:lineRule="auto"/>
        <w:tabs>
          <w:tab w:leader="none" w:pos="98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such rights if practicable and distribute the net proceeds of the public or private sales of such rights in the same manner as cash to the ADR holders entitled thereto; or</w:t>
      </w:r>
    </w:p>
    <w:p>
      <w:pPr>
        <w:spacing w:after="0" w:line="161"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obligation to file a registration statement under the Securities Act in order to make any rights available to ADR holders.</w:t>
      </w:r>
    </w:p>
    <w:p>
      <w:pPr>
        <w:spacing w:after="0" w:line="223" w:lineRule="exact"/>
        <w:rPr>
          <w:sz w:val="20"/>
          <w:szCs w:val="20"/>
          <w:color w:val="auto"/>
        </w:rPr>
      </w:pPr>
    </w:p>
    <w:p>
      <w:pPr>
        <w:ind w:left="660" w:right="80" w:hanging="328"/>
        <w:spacing w:after="0" w:line="261" w:lineRule="auto"/>
        <w:tabs>
          <w:tab w:leader="none" w:pos="6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Distributions</w:t>
      </w:r>
      <w:r>
        <w:rPr>
          <w:rFonts w:ascii="Times New Roman" w:cs="Times New Roman" w:eastAsia="Times New Roman" w:hAnsi="Times New Roman"/>
          <w:sz w:val="18"/>
          <w:szCs w:val="18"/>
          <w:color w:val="auto"/>
        </w:rPr>
        <w:t>. In the case of a distribution of securities or property other than those described above, the depositary may either (i) distribute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securities or property in any manner it deems equitable and practicable or (ii) to the extent the depositary deems distribution of such securities or property not to be equitable and practicable, sell such securities or property and distribute any net proceeds of public or private sales in the same way it distributes cash.</w:t>
      </w:r>
    </w:p>
    <w:p>
      <w:pPr>
        <w:spacing w:after="0" w:line="179" w:lineRule="exact"/>
        <w:rPr>
          <w:rFonts w:ascii="Times New Roman" w:cs="Times New Roman" w:eastAsia="Times New Roman" w:hAnsi="Times New Roman"/>
          <w:sz w:val="18"/>
          <w:szCs w:val="18"/>
          <w:color w:val="auto"/>
        </w:rPr>
      </w:pPr>
    </w:p>
    <w:p>
      <w:pPr>
        <w:ind w:left="660" w:hanging="328"/>
        <w:spacing w:after="0" w:line="253" w:lineRule="auto"/>
        <w:tabs>
          <w:tab w:leader="none" w:pos="6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Elective Distributions</w:t>
      </w:r>
      <w:r>
        <w:rPr>
          <w:rFonts w:ascii="Times New Roman" w:cs="Times New Roman" w:eastAsia="Times New Roman" w:hAnsi="Times New Roman"/>
          <w:sz w:val="18"/>
          <w:szCs w:val="18"/>
          <w:color w:val="auto"/>
        </w:rPr>
        <w:t>. In the case of a dividend payable at the election of our shareholders in cash or in additional ordinary shares, we will notify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at least 30 days prior to the proposed distribution stating whether or not we wish such elective distribution to be made available to ADR holders. The depositary shall make such elective distribution available to ADR holders only if (i) we shall have timely requested that the elective distribution is available to ADR holders, (ii) the depositary shall have determined that such distribution is reasonably practicable and (iii) the depositary shall have received satisfactory documentation within the terms of the deposit agreement including any legal opinions of counsel that the depositary in its reasonable discretion may request. If the above conditions are not satisfied, the depositary shall, to the extent permitted by law, distribute to the ADR holders, on the basis of the same determination as is made in the local market in respect of the ordinary shares for which no election is made, either (x) cash or (y) additional ADSs representing such additional ordinary shares. If the above conditions are satisfied, the depositary shall establish procedures to enable ADR holders to elect the receipt of the proposed dividend in cash or in additional ADSs. There can be no assurance that ADR holders or beneficial owners of ADSs generally, or any ADR holder or beneficial owner of ADSs in particular, will be given the opportunity to receive elective distributions on the same terms and conditions as the holders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8" w:name="page319"/>
    <w:bookmarkEnd w:id="318"/>
    <w:p>
      <w:pPr>
        <w:ind w:left="660"/>
        <w:spacing w:after="0" w:line="253" w:lineRule="auto"/>
        <w:rPr>
          <w:sz w:val="20"/>
          <w:szCs w:val="20"/>
          <w:color w:val="auto"/>
        </w:rPr>
      </w:pPr>
      <w:r>
        <w:rPr>
          <w:rFonts w:ascii="Times New Roman" w:cs="Times New Roman" w:eastAsia="Times New Roman" w:hAnsi="Times New Roman"/>
          <w:sz w:val="18"/>
          <w:szCs w:val="18"/>
          <w:color w:val="auto"/>
        </w:rPr>
        <w:t>If the depositary determines in its sole discretion that any distribution described above is not practicable with respect to any or all ADR holders, the depositary may choose any method of distribution that it deems practicable for such ADR holder, including the distribution of some or all of any cash, foreign currency, securities or other property (or appropriate documents evidencing the right to receive some or all of any such cash, foreign currency, security or other property), and/or it may retain some or all of such items, without paying interest on or investing them, on behalf of the ADR holder as deposited securities, in which case the ADSs will also represent the retained items. To the extent the depositary does not reasonably believe it will be permitted by applicable law, rule or regulation to convert foreign currency into U.S. dollars and distribute such U.S. dollars to some or all of the ADR holders, the depositary may in its discretion distribute the foreign currency received by the depositary to, or hold such foreign currency uninvested and without liability for interest thereon for the respective accounts of, the ADR holders entitled to receive the same. To the extent the depositary holds such foreign currency, any and all costs and expenses related to, or arising from, the holding of such foreign currency shall be paid from such foreign currency thereby reducing the amount so held.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U.S. dollars will be paid via wire transfer and/or distributed by checks drawn on a bank in the United States for whole dollars and cents.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Fractional cents will be withheld without liability and dealt with by the depositary in accordance with its then current practices.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depositary is not responsible if it fails to determine that any distribution or action is lawful or reasonably practicable.</w:t>
      </w:r>
    </w:p>
    <w:p>
      <w:pPr>
        <w:spacing w:after="0" w:line="225" w:lineRule="exact"/>
        <w:rPr>
          <w:sz w:val="20"/>
          <w:szCs w:val="20"/>
          <w:color w:val="auto"/>
        </w:rPr>
      </w:pPr>
    </w:p>
    <w:p>
      <w:pPr>
        <w:ind w:left="660" w:right="240"/>
        <w:spacing w:after="0" w:line="261" w:lineRule="auto"/>
        <w:rPr>
          <w:sz w:val="20"/>
          <w:szCs w:val="20"/>
          <w:color w:val="auto"/>
        </w:rPr>
      </w:pPr>
      <w:r>
        <w:rPr>
          <w:rFonts w:ascii="Times New Roman" w:cs="Times New Roman" w:eastAsia="Times New Roman" w:hAnsi="Times New Roman"/>
          <w:sz w:val="18"/>
          <w:szCs w:val="18"/>
          <w:i w:val="1"/>
          <w:iCs w:val="1"/>
          <w:color w:val="auto"/>
        </w:rPr>
        <w:t>There can be no assurance that the depositary will be able to convert any currency at a specified exchange rate or sell any property, rights, ordinary shares or other securities at a specified price, nor that any of such transactions can be completed within a specified time period. All purchases and sales of securities will be handled by the depositary in accordance with its then current policies, which are currently set forth on the “Disclosures” page (or successor page) of www.adr.com (as updated by the depositary from time to time, “ADR.com”).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does the depositary issue ADSs?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depositary will issue ADSs if you or your broker deposit ordinary shares or evidence of rights to receive ordinary shares with the custodian and pay the fees and expenses owing to the depositary in connection with such issuance.</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deposit of ordinary shares, the depositary or its custodian may require the following in a form satisfactory to it: (i) a written order directing the depositary to issue to, or upon the written order of, the person or persons designated in such order ADSs representing such deposited Shares;</w:t>
      </w:r>
    </w:p>
    <w:p>
      <w:pPr>
        <w:ind w:right="80" w:firstLine="8"/>
        <w:spacing w:after="0" w:line="252" w:lineRule="auto"/>
        <w:tabs>
          <w:tab w:leader="none" w:pos="26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endorsements or duly executed instruments of transfer in respect of such deposited ordinary shares; (iii) instruments assigning to the depositary, its custodian or a nominee of either any distribution on or in respect of such deposited ordinary shares or indemnity therefor; and (iv) proxies entitling the custodian to vote such deposited ordinary shares. The deposited ordinary shares and any such additional items are referred to as “deposited securities.” As soon as practicable after the custodian receives deposited securities pursuant to any such deposit or pursuant to a distribution or change affecting deposited securities, the custodian shall present such deposited securities for registration of transfer into the name of the depositary, its custodian or a nominee of either, in each case for the benefit of ADR holders, to the extent such registration is practicable, at the cost and expense of the person making such deposit (or for whose benefit such deposit is made) and shall obtain evidence satisfactory to it of such registration.</w:t>
      </w:r>
    </w:p>
    <w:p>
      <w:pPr>
        <w:spacing w:after="0" w:line="18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custodian will hold all deposited ordinary shares for the account and to the order of the depositary, in each case for the benefit of ADR holders, to the extent not prohibited by law. ADR holders and beneficial owners thus have no direct ownership interest in the ordinary shares and only have such rights as are contained in the deposit agreement. The custodian will also hold any additional securities, property and cash received on or in substitution for the deposited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9" w:name="page320"/>
    <w:bookmarkEnd w:id="319"/>
    <w:p>
      <w:pPr>
        <w:spacing w:after="0" w:line="255" w:lineRule="auto"/>
        <w:rPr>
          <w:sz w:val="20"/>
          <w:szCs w:val="20"/>
          <w:color w:val="auto"/>
        </w:rPr>
      </w:pPr>
      <w:r>
        <w:rPr>
          <w:rFonts w:ascii="Times New Roman" w:cs="Times New Roman" w:eastAsia="Times New Roman" w:hAnsi="Times New Roman"/>
          <w:sz w:val="18"/>
          <w:szCs w:val="18"/>
          <w:color w:val="auto"/>
        </w:rPr>
        <w:t>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 such deposited securities. Notwithstanding anything else contained herein, in the deposit agreement,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Upon each deposit of ordinary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ADR holder's name. An ADR holder can request that the ADSs not be held through the depositary's direct registration system and that a certificated ADR be issued.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ADR holders cancel an ADS and obtain deposited securities?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When you turn in your ADR certificate at the depositary's office, or when you provide proper instructions and documentation in the case of direct registration ADSs, subject to the provisions of or governing our ordinary shares (including, without limitation, our governing documents and all applicable laws, rules and regulations), the depositary will, upon payment of certain applicable fees, charges and taxes, deliver the underlying shares to you or upon your written order. Delivery of deposited securities in certificated form will be made at the custodian's office (or from the custodian to the extent dematerialized). At your risk, expense and request, the depositary may deliver deposited securities (including any certificates therefor) at such other place as you may request.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may only restrict the withdrawal of deposited securities in connection with:</w:t>
      </w:r>
    </w:p>
    <w:p>
      <w:pPr>
        <w:spacing w:after="0" w:line="207" w:lineRule="exact"/>
        <w:rPr>
          <w:sz w:val="20"/>
          <w:szCs w:val="20"/>
          <w:color w:val="auto"/>
        </w:rPr>
      </w:pPr>
    </w:p>
    <w:p>
      <w:pPr>
        <w:ind w:left="660" w:right="240" w:hanging="328"/>
        <w:spacing w:after="0" w:line="282" w:lineRule="auto"/>
        <w:tabs>
          <w:tab w:leader="none" w:pos="6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caused by closing our transfer books or those of the depositary or the deposit of ordinary shares in connection with voting at a shareholders' meeting, or the payment of dividends;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taxes and similar charges;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U.S. or foreign laws or governmental regulations relating to the ADRs or to the withdrawal of deposited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229" w:lineRule="exact"/>
        <w:rPr>
          <w:sz w:val="20"/>
          <w:szCs w:val="20"/>
          <w:color w:val="auto"/>
        </w:rPr>
      </w:pPr>
    </w:p>
    <w:p>
      <w:pPr>
        <w:ind w:right="680"/>
        <w:spacing w:after="0" w:line="312" w:lineRule="auto"/>
        <w:rPr>
          <w:sz w:val="20"/>
          <w:szCs w:val="20"/>
          <w:color w:val="auto"/>
        </w:rPr>
      </w:pPr>
      <w:r>
        <w:rPr>
          <w:rFonts w:ascii="Times New Roman" w:cs="Times New Roman" w:eastAsia="Times New Roman" w:hAnsi="Times New Roman"/>
          <w:sz w:val="17"/>
          <w:szCs w:val="17"/>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140" w:lineRule="exact"/>
        <w:rPr>
          <w:sz w:val="20"/>
          <w:szCs w:val="20"/>
          <w:color w:val="auto"/>
        </w:rPr>
      </w:pPr>
    </w:p>
    <w:p>
      <w:pPr>
        <w:ind w:left="660" w:hanging="328"/>
        <w:spacing w:after="0"/>
        <w:tabs>
          <w:tab w:leader="none" w:pos="6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distribution on or in respect of deposited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instructions for the exercise of voting rights,</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any fees assessed by, or owing to, the depositary for administration of the ADR program and for any expenses as provided for in the ADR,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notice or to act or be obligated in respect of other matters, all subject to the provisions of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you are an ADR holder and the depositary asks you to provide it with voting instructions, you may instruct the depositary how to exercise the voting rights for the ordinary shares which underlie your ADSs. As soon as practicable after receipt from us of notice of any meeting at which the holders of ordinary shares are entitled to vote, or of our solicitation of consents or proxies from holders of ordinary shares, the depositary shall fix the ADS record date in accordance with the provisions of the deposit agreement, provided that if the depositary receives a written request from us in a timely manner and at least thirty (30) days prior to the date of such vote or meeting, the depositary shall, at our expense, distribute to the registered ADR holders a “voting notice” stating (i) final information particular to such vote and meeting and any solicitation materials, (ii) that each ADR holder on the record date set by the depositary will, subject to any applicable provisions of the laws of the Commonwealth of Australia, be entitled to instruct the depositary as to the exercise of the voting rights, if any, pertaining to the deposited securities represented by the ADSs evidenced by such ADR holder's ADRs and (iii) the manner in which such instructions may be given, including instructions for giving a discretionary proxy to a person designated by us.</w:t>
      </w:r>
    </w:p>
    <w:p>
      <w:pPr>
        <w:spacing w:after="0" w:line="18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Following actual receipt by the ADR department responsible for proxies and voting of ADR holders' instructions (including, without limitation, instructions of any entity or entities acting on behalf of the nominee for The Depository Trust Company, or DTC), the depositary shall, in the manner and on or before the time established by the depositary for such purpose, endeavor to vote or cause to be voted the deposited securities represented by the ADSs evidenced by such ADR holders' ADRs in accordance with such instructions insofar as practicable and permitted under the provisions of or governing deposited securities.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laws of the Commonwealth of Australia and our constituent documents, voting at any meeting of shareholders is by show of hands unless a poll is (before or on the declaration of the results of the show of hands or on the withdrawal of any other demand for a poll) required or duly demanded. In the event that voting on any resolution or matter is conducted on a show of hands basis, the depositary will refrain from voting and the voting instructions received by the depositary from ADS holders shall lapse. The depositary will not demand a poll or join in demanding a poll, whether or not requested to do so by ADS holders.</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including instructions to give a discretionary proxy to a person designated by us, for the manner in which any vote is cast, including, without limitation, any vote cast by a person to whom the depositary is instructed to grant a discretionary proxy pursuant to the terms of the deposit agreement, or for the effect of any such vote.</w:t>
      </w:r>
    </w:p>
    <w:p>
      <w:pPr>
        <w:spacing w:after="0" w:line="18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Notwithstanding anything contained in the deposit agreement or any ADR, the depositary may, to the extent not prohibited by any law, rule or regulation, or by the rules, regulations or requirements of any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ADR holders with or otherwise publicizes to such ADR holders instructions on how to retrieve such materials or receive such materials upon request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by reference to a website containing the materials for retrieval or a contact for requesting copies of the materials).</w:t>
      </w:r>
    </w:p>
    <w:p>
      <w:pPr>
        <w:spacing w:after="0" w:line="1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and Other Communications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ADR holders be able to view our reports?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deposit agreement, the provisions of or governing deposited securities, and any written communications from us which are both received by the custodian or its nominee as a holder of deposited securities and made generally available to the holders of deposited securities, are available for inspection by ADR holders at the offices of the depositary in the United States, on the SEC's internet website or upon request to the depositary (which request may be refused by the depositary at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1" w:name="page322"/>
    <w:bookmarkEnd w:id="321"/>
    <w:p>
      <w:pPr>
        <w:ind w:right="60"/>
        <w:spacing w:after="0" w:line="282" w:lineRule="auto"/>
        <w:rPr>
          <w:sz w:val="20"/>
          <w:szCs w:val="20"/>
          <w:color w:val="auto"/>
        </w:rPr>
      </w:pPr>
      <w:r>
        <w:rPr>
          <w:rFonts w:ascii="Times New Roman" w:cs="Times New Roman" w:eastAsia="Times New Roman" w:hAnsi="Times New Roman"/>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ADR holders and/or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the depositary and its agents in respect of such tax or other governmental charge. Notwithstanding the depositary’s right to seek payment from current or former ADR holders and beneficial owners, each ADR holder and beneficial owner, and each prior ADR holder and beneficial owner, by holding or owning, or having held or owned, an ADR or an interest in ADSs acknowledges and agrees that the depositary has no obligation to seek payment of amounts owing from any current or prior beneficial owner.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 up or combination of ADRs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 Neither we nor the depositary nor any of our or its respective agents, shall be liable to ADR holders or beneficial owners of the ADSs for failure of any of them to comply with applicable tax laws, rules and/or regulations.</w:t>
      </w:r>
    </w:p>
    <w:p>
      <w:pPr>
        <w:spacing w:after="0" w:line="1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which obligations shall survive any transfer or surrender of ADSs or the termination of the deposit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take certain actions that affect the deposited securities, including (i) any split up, consolidation, cancellation or other reclassification of deposited securities or (ii) any distributions of shares or other property not made to holders of ADRs or (iii) any recapitalization, reorganization, merger, consolidation, liquidation, receivership, insolvency or sale of all or substantially all of our assets, then the depositary may choose to, and shall if reasonably requested by us:</w:t>
      </w:r>
    </w:p>
    <w:p>
      <w:pPr>
        <w:spacing w:after="0" w:line="180" w:lineRule="exact"/>
        <w:rPr>
          <w:sz w:val="20"/>
          <w:szCs w:val="20"/>
          <w:color w:val="auto"/>
        </w:rPr>
      </w:pPr>
    </w:p>
    <w:p>
      <w:pPr>
        <w:ind w:left="660" w:hanging="328"/>
        <w:spacing w:after="0"/>
        <w:tabs>
          <w:tab w:leader="none" w:pos="6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form of ADR;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additional or amended ADRs;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cash, securities or other property it has received in connection with such 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by public or private sale any securities or property received and distribute the proceeds as cash;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2" w:name="page323"/>
    <w:bookmarkEnd w:id="322"/>
    <w:p>
      <w:pPr>
        <w:ind w:right="440"/>
        <w:spacing w:after="0" w:line="282" w:lineRule="auto"/>
        <w:rPr>
          <w:sz w:val="20"/>
          <w:szCs w:val="20"/>
          <w:color w:val="auto"/>
        </w:rPr>
      </w:pPr>
      <w:r>
        <w:rPr>
          <w:rFonts w:ascii="Times New Roman" w:cs="Times New Roman" w:eastAsia="Times New Roman" w:hAnsi="Times New Roman"/>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ADSs without your consent for any reason. ADR holders must be given at least thirty (30) days' notice of any amendment that imposes or increases any fees on a per ADS basis, charges or expenses (other than stock transfer or other taxes and other governmental charges, transfer or registration fees, a transaction fee per cancellation request (including any cancellation request made through SWIFT, facsimile transmission or any other method of communication), applicable delivery expenses or other such fees, charges or expenses), or otherwise prejudices any substantial existing right of ADR holders or beneficial owners. Such notice need not describe in detail the specific amendments effectuated thereby, but must identify to ADR holders and beneficial owners a means to access the text of such amendment. If an ADR holder or beneficial owner continues to hold an ADR or ADRs, or an interest therein,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amendments or supplements that (i) are reasonably necessary (as agreed by us and the depositary) in order for (a) the ADSs to be registered on Form F-6 under the Securities Act or (b) the ADSs or ordinary shares to be traded solely in electronic book-entry form and (ii) do not in either such case impose or increase any fees or charges to be borne by ADR holders, shall be deemed not to prejudice any substantial rights of ADR holders or beneficial owners. Notwithstanding the foregoing, if any governmental body or regulatory body should adopt new laws, rules or regulations that would require amendment or supplement of the deposit agreement or the form of ADR to ensure compliance therewith, we and the depositary may amend or supplement the deposit agreement and the form of ADR (and all outstanding ADRs) at any time in accordance with such changed laws, rules or regulations. Such amendment or supplement to the deposit agreement in such circumstances may become effective before a notice of such amendment or supplement is given to ADR holders or within any other period of time as required for compliance.</w:t>
      </w:r>
    </w:p>
    <w:p>
      <w:pPr>
        <w:spacing w:after="0" w:line="19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ADR holders identifies a means for ADR holders and beneficial owners to retrieve or receive the text of such amendment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upon retrieval from the SEC's, the depositary's or our website or upon request from the depositary).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depositary may at any time, and shall at our written direction, terminate the deposit agreement and the ADRs by mailing notice of such termination to the registered holders of ADRs at least thirty (30) days prior to the date fixed in such notice for such termination; provided, however, if the depositary shall have (i) resigned as depositary under the deposit agreement, notice of such termination by the depositary shall not be provided to registered ADR holders unless a successor depositary shall not be operating under the deposit agreement within sixty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60th day after our notice of removal was first provided to the depositary.</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in the deposit agreement, the depositary may terminate the deposit agreement (i) without notifying us, but subject to giving thirty (30) days' notice to the ADR holders, under the following circumstances: (a) in the event of our liquidation proceedings or insolvency, (b) if our ordinary shares are delisted from a “national securities exchange” (that has registered with the SEC under Section 6 of the Exchange Act), (c) if we effect (or will effect) a redemption of all or substantially all of the deposited securities, or a cash or share distribution representing a return of all or substantially all of the value of the deposited securities, (d) there are no deposited securities with respect to ADSs remaining, including if the deposited securities are cancelled, or the deposit securities have been deemed to have no value, or (e) there occurs a merger, consolidation, sale of assets or other transaction as a result of which securities or other property are delivered in exchange for or in lieu of deposited securities, and (ii) immediately without prior notice to the Company, any ADR holder or beneficial owner or any other person if (a) required by any law, rule or regulation relating to sanctions by any governmental authority or body, (b) the depositary would be subject to liability under or pursuant to any law, rule or regulation, or (c) required by any governmental authority or body, in each case under (ii) as determined by the depositary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3" w:name="page324"/>
    <w:bookmarkEnd w:id="323"/>
    <w:p>
      <w:pPr>
        <w:spacing w:after="0" w:line="253" w:lineRule="auto"/>
        <w:rPr>
          <w:sz w:val="20"/>
          <w:szCs w:val="20"/>
          <w:color w:val="auto"/>
        </w:rPr>
      </w:pPr>
      <w:r>
        <w:rPr>
          <w:rFonts w:ascii="Times New Roman" w:cs="Times New Roman" w:eastAsia="Times New Roman" w:hAnsi="Times New Roman"/>
          <w:sz w:val="18"/>
          <w:szCs w:val="18"/>
          <w:color w:val="auto"/>
        </w:rPr>
        <w:t>If our shares are not listed and publicly traded on a stock exchange or in a securities market as of the date so fixed for termination or if, for any reason, the depositary does not sell the deposited securities, then after such date fixed for termination, the depositary shall use its reasonable efforts to ensure that the ADSs cease to be eligible for settlement within DTC and that neither DTC nor any of its nominees shall thereafter be an ADR holder. At such time as the ADSs cease to be DTC eligible and/or neither DTC nor any of its nominees is an ADR holder, to the extent we are not, to the depositary’s knowledge, insolvent or in liquidation, the depositary shall (i) cancel all outstanding ADRs; (ii) request DTC to provide the depositary with information on those holding ADSs through DTC and, upon receipt thereof, revise the ADR register to reflect the information provided by DTC; (iii) instruct its custodian to deliver all deposited securities to us, a subsidiary or affiliate of ours (the company representative) or an independent trust company engaged by us (the trustee) to hold those deposited securities in trust for the beneficial owners of the ADRs if we are not permitted to hold any of the deposited securities under applicable law and/or we have directed the depositary to deliver such deposited securities to the company representative or trustee along with a stock transfer form and/or such other instruments of transfer covering such deposited securities as are needed under applicable law, in either case referring to the names set forth on the ADR register and (iv) provide us with a copy of the ADR register.</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Upon receipt of any instrument of transfer covering such deposited securities and the ADR Register, we have agreed that we or our trustee will, depending on what is legally required under local law, either deliver to each person reflected on such ADR register appropriate documentation to effect the transfer to such persons of the deposited securities previously represented by the ADSs evidenced by their ADRs, approve the transfer of the deposited securities previously represented by their ADRs to the persons listed on the ADR register (as applicable), procure the relevant updates to the register of members of the Company to reflect the transfer of the deposited securities previously represented by their ADRs to the persons listed on the ADR register (as applicable) and provide the depositary with a certified copy of the updated register of our shareholders.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To the extent the depositary reasonably believes that we are insolvent, or if we are in receivership and/or are otherwise in insolvent restructuring, administration or liquidation, and in any such case the deposited securities are not listed and publicly traded on a securities exchange after the termination date, or if, for any reason, the depositary believes it is not able to or cannot practicably sell the deposited securities promptly and without undue effort, the deposited securities shall be deemed to have no value (and such ADR holders shall be deemed to have instructed the depositary that the deposited securities have no value). The depositary may (and, by holding an ADR or an interest therein, all holders irrevocably consent and agree that the depositary may) instruct its custodian to deliver all deposited securities to an administrator, receiver, administrative receiver, liquidator, provisional liquidator, restructuring officer, interim restructuring officer, trustee, controller or other entity overseeing the insolvency, administration, insolvent restructuring or liquidation process and notify us that the deposited ordinary shares are surrendered for no consideration. The deposit agreement requires us, subject to applicable law, to promptly ensure that such entity accepts the surrender of the deposited ordinary shares for no consideration and deliver to the depositary a written notice confirming (i) the acceptance of the surrender of the deposited securities for no consideration and (ii) the cancellation of such deposited ordinary shares. Promptly after notifying us that the deposited ordinary shares are surrendered for no consideration and irrespective of whether we have complied with the immediately preceding sentence, the depositary shall notify ADR holders that their ADSs have been cancelled with no consideration being payable to such ADR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4" w:name="page325"/>
    <w:bookmarkEnd w:id="324"/>
    <w:p>
      <w:pPr>
        <w:ind w:right="40"/>
        <w:spacing w:after="0" w:line="254" w:lineRule="auto"/>
        <w:rPr>
          <w:sz w:val="20"/>
          <w:szCs w:val="20"/>
          <w:color w:val="auto"/>
        </w:rPr>
      </w:pPr>
      <w:r>
        <w:rPr>
          <w:rFonts w:ascii="Times New Roman" w:cs="Times New Roman" w:eastAsia="Times New Roman" w:hAnsi="Times New Roman"/>
          <w:sz w:val="18"/>
          <w:szCs w:val="18"/>
          <w:color w:val="auto"/>
        </w:rPr>
        <w:t>Upon the depositary's compliance with the provisions of any of the above three paragraphs, the depositary and its agents shall be discharged from all, and cease to have any, obligations under the deposit agreement and the ADRs. If our ordinary shares are listed and publicly traded on a securities exchange and the depositary believes that it is able, permissible and practicable to sell the deposited securities without undue effort, then the depositary may endeavor to publicly or privately sell (as long as it may lawfully do so) the deposited securities, which sale may be effected in a block sale/single lot transaction and, after the settlement of such sale(s), to the extent legally permissible and practicable, distribute or hold in an account (which may be a segregated or unsegregated account) the net proceeds of such sale(s), less any amounts owing to the depositary (including, without limitation, cancellation fees), together with any other cash then held by it under the deposit agreement, in trust, without liability for interest, for the pro rata benefit of the holders entitled thereto. After making such sale, the depositary shall be discharged from all obligations in respect of the deposit agreement and the ADRs, except to account for such net proceeds and other cash.</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connection with any such termination, the depositary may, in its sole discretion and without notice to us, establish an unsponsored American depositary share program (on such terms as the depositary may determine) for our ordinary shares and make available to ADR holders a means to withdraw the ordinary shares represented by the ADSs issued under the deposit agreement and to direct the deposit of such ordinary shares into such unsponsored American depositary share program, subject, in each case, to receipt by the depositary, at its discretion, of the fees, charges and expenses provided for under the deposit agreement and the fees, charges and expenses applicable to the unsponsored American depositary share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ADR holders, beneficial owners and others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162" w:lineRule="exact"/>
        <w:rPr>
          <w:sz w:val="20"/>
          <w:szCs w:val="20"/>
          <w:color w:val="auto"/>
        </w:rPr>
      </w:pPr>
    </w:p>
    <w:p>
      <w:pPr>
        <w:ind w:left="660" w:right="40" w:hanging="328"/>
        <w:spacing w:after="0" w:line="266"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with respect thereto of (i) any stock transfer or other tax or other governmental charge, (ii) any stock transfer or registration fees in effect for the registration of transfers of ordinary shares or other deposited securities upon any applicable register and (iii) any applicable fees and expenses described in the deposit agreement;</w:t>
      </w:r>
    </w:p>
    <w:p>
      <w:pPr>
        <w:spacing w:after="0" w:line="17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w:t>
      </w:r>
    </w:p>
    <w:p>
      <w:pPr>
        <w:spacing w:after="0" w:line="179"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such regulations as the depositary may establish consistent with the deposit agreement or as the depositary believes are required, necessary or advisable in order to comply with applicable laws, rules and regulations.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issuance of ADRs, the acceptance of deposits of ordinary shares, the registration, registration of transfer, split-up or combination of ADRs or the withdrawal of ordinary shares, may be suspended, generally or in particular instances, when the ADR register or any register for deposited securities is closed or when any such action is deemed required, necessary or advisable by the depositary for any reason provided that the ability to withdraw ordinary shares may only be limited under the following circumstances: (i) temporary delays caused by closing transfer books of the depositary or our transfer books or the deposit of ordinary shares in connection with voting at a shareholders' meeting, or the payment of dividends, (ii) the payment of fees, taxes, and similar charges, and (iii) compliance with any laws or governmental regulations relating to ADRs or to the withdrawal of deposited securities. The depositary may close the ADR register (and/or any portion thereof) at any time or from time to time when deemed expedient by it.</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deposit agreement expressly limits the obligations and liability of the depositary, the depositary’s custodian or ourselves and each of our and their respective directors, officers, employees, agents and affiliates, provided, however, that no provision of the deposit agreement is intended to constitute a waiver or limitation of any rights that ADR holders or beneficial owners may have under the Securities Act or the Exchange Act, to the extent applicable. The deposit agreement provides that each of us, the depositary and our respective directors, officers, employees, agents and affiliates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5" w:name="page326"/>
    <w:bookmarkEnd w:id="325"/>
    <w:p>
      <w:pPr>
        <w:ind w:left="660" w:hanging="328"/>
        <w:spacing w:after="0" w:line="272" w:lineRule="auto"/>
        <w:tabs>
          <w:tab w:leader="none" w:pos="660"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or assume no liability (including, without limitation, to ADR holders or beneficial owners) if any present or future law, rule, regulation, fiat, order or decree of the United States, the Commonwealth of Australia or any other country or jurisdiction, or of any governmental or regulatory authority or any securities exchange or market or automated quotation system, the provisions of or governing any deposited securities, any present or future provision of the Company's constituent documents, any act of God, war, terrorism, epidemic, pandemic, nationalization, expropriation, currency restrictions, extraordinary market conditions, work stoppage, strike, civil unrest, revolutions, rebellions, explosions, cyber, ransomware or malware attack, computer failure or circumstance our, the depositary's or our respective directors’, officers’, employees’, agents' or affiliates’ direct and immediate control shall prevent or delay, or shall cause any of them to be subject to any civil or criminal penalty in connection with, any act which the deposit agreement or the ADRs provide shall be done or performed by any such party (including, without limitation, voting);</w:t>
      </w:r>
    </w:p>
    <w:p>
      <w:pPr>
        <w:spacing w:after="0" w:line="171" w:lineRule="exact"/>
        <w:rPr>
          <w:rFonts w:ascii="Times New Roman" w:cs="Times New Roman" w:eastAsia="Times New Roman" w:hAnsi="Times New Roman"/>
          <w:sz w:val="17"/>
          <w:szCs w:val="17"/>
          <w:color w:val="auto"/>
        </w:rPr>
      </w:pPr>
    </w:p>
    <w:p>
      <w:pPr>
        <w:ind w:left="660" w:right="180" w:hanging="328"/>
        <w:spacing w:after="0" w:line="261"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(including, without limitation, to ADR holders or beneficial owners) by reason of any non-performance or delay, caused as aforesaid, in the performance of any act or things which by the terms of the deposit agreement it is provided shall or may be done or performed or any exercise or failure to exercise discretion under the deposit agreement or the ADRs including, without limitation, any failure to determine that any distribution or action may be lawful or reasonably practicable;</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(including, without limitation, to holders or beneficial owners) if it performs its obligations specifically set forth in the deposit agreement and ADRs without gross negligence or willful misconduct;</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depositary and its agents, be under no obligation to appear in, prosecute or defend any action, suit or other proceeding in respect of any deposited securities the ADSs or the ADRs;</w:t>
      </w:r>
    </w:p>
    <w:p>
      <w:pPr>
        <w:spacing w:after="0" w:line="16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us and our agents, be under no obligation to appear in, prosecute or defend any action, suit or other proceeding in respect of any deposited securities the ADSs or the ADRs, which in our or our agents’ opinion, as the case may be, may involve us in expense or liability, unless indemnity satisfactory to us or our agent, as the case may be, against all expense (including fees and disbursements of counsel) and liability is furnished as often as may be requested;</w:t>
      </w:r>
    </w:p>
    <w:p>
      <w:pPr>
        <w:spacing w:after="0" w:line="179"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liable (including, without limitation, to ADR holders or beneficial owners) for any action or inaction by it in reliance upon the advice of or information from any legal counsel, any accountant, any person presenting ordinary shares for deposit, any registered holder of ADRs, or any other person believed by it to be competent to give such advice or information and/or, in the case of the depositary, from us; or</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and shall be protected in acting upon any written notice, request, direction, instruction or document believed by it to be genuine and to have been signed, presented or given by the proper party or parties.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shall not be a fiduciary or have any fiduciary duty to ADR holders or beneficial owners.</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Notwithstanding anything to the contrary contained in the deposit agreement or any ADRs, the depositary shall not be responsible for, and shall incur no liability in connection with or arising from, any act or omission to act on the part of the custodian except to the extent that any registered ADR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but not limited to, pricing, proxy voting, corporate actions, class action litigation and other services in connection with the ADRs and the deposit agreement, and use local agents to provide services such as, but not limited to, attendance at any meetings of security holders of issuers. Although the depositary and the custodian will use reasonable care (and cause their agents to use reasonable care) in the selection and retention of such third-party providers and local agents, they will not be responsible for any errors or omissions made by them in providing the relevant information 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6" w:name="page327"/>
    <w:bookmarkEnd w:id="326"/>
    <w:p>
      <w:pPr>
        <w:ind w:right="140"/>
        <w:spacing w:after="0" w:line="266" w:lineRule="auto"/>
        <w:rPr>
          <w:sz w:val="20"/>
          <w:szCs w:val="20"/>
          <w:color w:val="auto"/>
        </w:rPr>
      </w:pPr>
      <w:r>
        <w:rPr>
          <w:rFonts w:ascii="Times New Roman" w:cs="Times New Roman" w:eastAsia="Times New Roman" w:hAnsi="Times New Roman"/>
          <w:sz w:val="18"/>
          <w:szCs w:val="18"/>
          <w:color w:val="auto"/>
        </w:rPr>
        <w:t>The depositary has no obligation to inform ADR holders or beneficial owners about the requirements of the laws, rules or regulations or any changes therein or thereto of the Commonwealth of Australia, the United States or any other country or jurisdiction or of any governmental or regulatory authority or any securities exchange or market or automated quotation system.</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Additionally, none of the depositary, the custodian or us, or any of their or our respective directors, officers, employees, agents or affiliates shall be liable for the failure by any registered holder of ADRs or beneficial owner to obtain the benefits of credits or refunds of non-U.S. tax paid against such ADR holder's or beneficial owner's income tax liability. The depositary is under no obligation to provide the ADR holders and beneficial owners, or any of them, with any information about our tax status. None of us, the depositary, the custodian or any of our or their respective directors, officers, employees, agents or affiliates shall incur any liability for any tax or tax consequences that may be incurred by registered ADR holders or beneficial owners on account of their ownership or disposition of ADRs or ADSs.</w:t>
      </w:r>
    </w:p>
    <w:p>
      <w:pPr>
        <w:spacing w:after="0" w:line="18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Neither the depositary nor its agents will be responsible for any failure to carry out any instructions to vote any of the deposited securities, for the manner in which any voting instructions are given, including instructions to give a discretionary proxy to a person designated by us, for the manner in which any vote is cast, including, without limitation, any vote cast by a person to whom the depositary is instructed to grant a discretionary proxy pursuant to the terms of the deposit agreement, or for the effect of any such vote. The depositary shall endeavor to effect any sale of securities or other property and any conversion of currency, securities or other property, in each case as is referred to or contemplated in the deposit agreement or the form of ADR, in accordance with the depositary's normal practices and procedures under the circumstances applicable to such sale or conversion, but shall have no liability (in the absence of its own willful default or gross negligence or that of its agents, officers, directors or employees) with respect to the terms of any such sale or conversion, including the price at which such sale or conversion is effected, or if such sale or conversion shall not be practicable, or shall not be believed, deemed or determined to be practicable by the depositary. Specifically, the depositary shall not have any liability for the price received in connection with any public or private sale of securities (including, without limitation, for any sale made at a nominal price), the timing thereof or any delay in action or omission to act nor shall it be responsible for any error or delay in action, omission to act, default or negligence on the part of the party so retained in connection with any such sale or proposed sale. The depositary shall not incur any liability in connection with or arising from any registration with the SEC of ADSs or shares, the offer or sale thereof in the United States, or any failure, inability or refusal by us or any other party, including any share registrar, transfer agent or other agent appointed by us, the depositary or any other party, to process any transfer, delivery or distribution of cash, ordinary shares, other securities or other property, including without limitation upon the termination of the deposit agreement, or otherwise to comply with any provisions of the deposit agreement that are applicable to it.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w:t>
      </w:r>
    </w:p>
    <w:p>
      <w:pPr>
        <w:spacing w:after="0" w:line="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us, nor any of our agents shall be liable for any indirect, special, punitive or consequential damages (excluding reasonable legal fees and expenses) or lost profits, in each case of any form incurred by any person or entity (including, without limitation, ADR holders or beneficial owners), whether or not foreseeable and regardless of the type of action in which such a claim may be brought.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color w:val="auto"/>
        </w:rPr>
        <w:t>The depositary and its agents may own and deal in any class of securities of our company and our affiliates and in ADSs.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Interest in ADSs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 For instance, we reserve the right to instruct you to deliver your ADSs for cancellation and withdrawal of the deposited securities so as to permit us to deal directly with you as a holder and/or beneficial owner of ordinary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ADR holders in the interest of the business of our company or a matter relating to the deposit agreement. Such register (and/or any portion thereof) may be closed at any time or from time to time, when deemed expedient by the depositary.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will maintain facilities for the delivery and receipt of ADRs.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the deposit agreement, each registered holder of ADRs and each beneficial owner, upon acceptance of any ADSs or ADRs (or any interest in any of them) issued in accordance with the terms and conditions of the deposit agreement will be deemed for all purposes to:</w:t>
      </w:r>
    </w:p>
    <w:p>
      <w:pPr>
        <w:spacing w:after="0" w:line="162" w:lineRule="exact"/>
        <w:rPr>
          <w:sz w:val="20"/>
          <w:szCs w:val="20"/>
          <w:color w:val="auto"/>
        </w:rPr>
      </w:pPr>
    </w:p>
    <w:p>
      <w:pPr>
        <w:ind w:left="660" w:hanging="328"/>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party to and bound by the terms of the deposit agreement and the applicable ADR or ADRs,</w:t>
      </w:r>
    </w:p>
    <w:p>
      <w:pPr>
        <w:spacing w:after="0" w:line="225"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 and</w:t>
      </w:r>
    </w:p>
    <w:p>
      <w:pPr>
        <w:spacing w:after="0" w:line="179" w:lineRule="exact"/>
        <w:rPr>
          <w:rFonts w:ascii="Times New Roman" w:cs="Times New Roman" w:eastAsia="Times New Roman" w:hAnsi="Times New Roman"/>
          <w:sz w:val="18"/>
          <w:szCs w:val="18"/>
          <w:color w:val="auto"/>
        </w:rPr>
      </w:pPr>
    </w:p>
    <w:p>
      <w:pPr>
        <w:ind w:left="660" w:hanging="328"/>
        <w:spacing w:after="0" w:line="253"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ADR holders, beneficial owners and/or their respective affiliates, (iii) the depositary and its divisions, branches and affiliates may at any time have multiple banking relationships with us, ADR holders, beneficial owners and/or the affiliates of any of them, (iv) the depositary and its divisions, branches and affiliates may, from time to time, be engaged in transactions in which parties adverse to us, ADR holders, or beneficial owners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an ADR holder shall be deemed, for all purposes of the deposit agreement and the ADRs, to constitute notice to any and all beneficial owners of the ADSs evidenced by such ADR holder's ADRs. For all purposes under the deposit agreement and the ADRs, the ADR holders thereof shall be deemed to have all requisite authority to act on behalf of any and all beneficial owners of the ADSs evidenced by such ADRs.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color w:val="auto"/>
        </w:rPr>
        <w:t>Consent to Jurisdiction</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the deposit agreement, we have submitted to the non-exclusive jurisdiction of the state and federal courts in New York, New York and appointed an agent for service of process on our behalf. Any action based on the deposit agreement, the ADSs, the ADRs or the transactions contemplated therein or thereby may also be instituted by the depositary against us in any competent court in the Commonwealth of Australia, the United States and/or any other court of competent jurisdiction.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deposit agreement, by holding or owning an ADR or ADS or an interest therein, ADR holders and beneficial owners each irrevocably agree that</w:t>
      </w:r>
    </w:p>
    <w:p>
      <w:pPr>
        <w:spacing w:after="0" w:line="27" w:lineRule="exact"/>
        <w:rPr>
          <w:sz w:val="20"/>
          <w:szCs w:val="20"/>
          <w:color w:val="auto"/>
        </w:rPr>
      </w:pPr>
    </w:p>
    <w:p>
      <w:pPr>
        <w:ind w:right="60" w:firstLine="8"/>
        <w:spacing w:after="0" w:line="265" w:lineRule="auto"/>
        <w:tabs>
          <w:tab w:leader="none" w:pos="215"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legal suit, action or proceeding against or involving holders or beneficial owners brought by us or the depositary, arising out of or based upon the deposit agreement, the ADSs, the ADRs or the transactions contemplated therein or thereby, may be instituted in a state or federal court in New York, New York, and by holding or owning an ADR or ADS or an interest therein each irrevocably waives any objection that it may now or hereafter have to the laying of venue of any such proceeding, and irrevocably submits to the non-exclusive jurisdiction of such courts in any such suit, action or proceeding and</w:t>
      </w:r>
    </w:p>
    <w:p>
      <w:pPr>
        <w:jc w:val="both"/>
        <w:ind w:right="80" w:firstLine="8"/>
        <w:spacing w:after="0" w:line="265" w:lineRule="auto"/>
        <w:tabs>
          <w:tab w:leader="none" w:pos="265"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legal suit, action or proceeding against or involving us and/or the depositary brought by holders or beneficial owners, arising out of or based upon the deposit agreement, the ADSs, the ADRs or the transactions contemplated therein or thereby, including, without limitation, claims under the Securities Act of 1933, may be instituted only in the United States District Court for the Southern District of New York (or in the state courts of New York County in New York if either (a) the United States District Court for the Southern District of New York lacks subject matter jurisdiction over a particular dispute or</w:t>
      </w:r>
    </w:p>
    <w:p>
      <w:pPr>
        <w:ind w:right="8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designation of the United States District Court for the Southern District of New York as the exclusive forum for any particular dispute is, or becomes, invalid, illegal or unenforceable). In the deposit agreement each holder and beneficial owner irrevocably waives any objection which it may at any time have to the laying of venue of any such proceeding, and irrevocably submits to the jurisdiction of such courts in any such suit, action or proceeding. This forum provision may increase your costs and limit your ability to bring a claim in a judicial forum that you find favorable for disputes with the depositary or us, or the depositary’s or our respective directors, officers or employees, which may discourage such lawsuits against the depositary, us and the depositary’s and our respective directors, officers or employees. However, it is possible that a court could find this choice of forum provision to be inapplicable or unenforceable. The enforceability of similar choice of forum provisions has been challenged in legal proceedings.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deposit agreement, each party thereto (including, for the avoidance of doubt, each ADR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based on or relating in any way to the shares or other deposited securities, the ADSs or the ADRs, the deposit agreement or any transaction contemplated therein, or the breach thereof (whether based on contract, tort, common law or any other theory), including any claim under the U.S. federal securities laws. The waiver of jury trial provision applies to all holders of ADSs, including purchasers who acquire ADSs on the secondary market. As the waiver relates to claims arising as a matter of contract in relation to the ADSs, we believe that, as a matter of construction of the clause, the waiver would likely to continue to apply to ADS holders who withdraw the ordinary shares represented by the ADSs from the ADS facility with respect to claims arising before the withdrawal, and the waiver would most likely not apply to ADS holders who subsequently withdraw the ordinary shares represented by ADSs from the ADS facility with respect to claims arising after the withdrawal. If we or the depositary opposed a jury trial demand based on the waiver, the court would determine whether the waiver was enforceable in the facts and circumstances of that case in accordance with applicable case law.</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trial by jury.</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waiver to right to a trial by jury in the deposit agreement is not intended to be deemed a waiver by any holder or beneficial owner of our or the depositary’s compliance with any provisions of U.S. federal securities laws or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9" w:name="page330"/>
    <w:bookmarkEnd w:id="32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Incentive Plan Rules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Telix Pharmaceuticals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the Board effective on 13 November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Australian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30" w:name="page331"/>
    <w:bookmarkEnd w:id="330"/>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254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0" w:type="dxa"/>
            <w:vAlign w:val="bottom"/>
          </w:tcPr>
          <w:p>
            <w:pPr>
              <w:spacing w:after="0"/>
              <w:rPr>
                <w:sz w:val="1"/>
                <w:szCs w:val="1"/>
                <w:color w:val="auto"/>
              </w:rPr>
            </w:pPr>
          </w:p>
        </w:tc>
      </w:tr>
      <w:tr>
        <w:trPr>
          <w:trHeight w:val="102"/>
        </w:trPr>
        <w:tc>
          <w:tcPr>
            <w:tcW w:w="1320" w:type="dxa"/>
            <w:vAlign w:val="bottom"/>
            <w:tcBorders>
              <w:bottom w:val="single" w:sz="8" w:color="auto"/>
            </w:tcBorders>
            <w:gridSpan w:val="2"/>
          </w:tcPr>
          <w:p>
            <w:pPr>
              <w:spacing w:after="0"/>
              <w:rPr>
                <w:sz w:val="8"/>
                <w:szCs w:val="8"/>
                <w:color w:val="auto"/>
              </w:rPr>
            </w:pPr>
          </w:p>
        </w:tc>
        <w:tc>
          <w:tcPr>
            <w:tcW w:w="740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320" w:type="dxa"/>
            <w:vAlign w:val="bottom"/>
            <w:gridSpan w:val="2"/>
          </w:tcPr>
          <w:p>
            <w:pPr>
              <w:spacing w:after="0"/>
              <w:rPr>
                <w:sz w:val="24"/>
                <w:szCs w:val="24"/>
                <w:color w:val="auto"/>
              </w:rPr>
            </w:pPr>
          </w:p>
        </w:tc>
        <w:tc>
          <w:tcPr>
            <w:tcW w:w="74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Introduction</w:t>
            </w:r>
          </w:p>
        </w:tc>
        <w:tc>
          <w:tcPr>
            <w:tcW w:w="740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A: Making and accepting Offers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Offers of Incentive Securities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1.1</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Board to make invitations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w:t>
            </w:r>
          </w:p>
        </w:tc>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Information to be provided to Participants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1.3</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Acceptance of Offer</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1.4</w:t>
            </w:r>
          </w:p>
        </w:tc>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Offer terms and conditions take precedence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1.5</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 prohibited financial assistance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1.6</w:t>
            </w:r>
          </w:p>
        </w:tc>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Quotation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3"/>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B: Types of securities that may be offered</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74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2.1</w:t>
            </w:r>
          </w:p>
        </w:tc>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2.2</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Vesting and exercise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2.3</w:t>
            </w:r>
          </w:p>
        </w:tc>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Allocation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2.4</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 of cash equivalent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2.5</w:t>
            </w:r>
          </w:p>
        </w:tc>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 Appreciation Rights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2.6</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Lapse of Rights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740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3.1</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3.2</w:t>
            </w:r>
          </w:p>
        </w:tc>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Vesting and exercise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3.3</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Allocation following exercise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3.4</w:t>
            </w:r>
          </w:p>
        </w:tc>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cash equivalent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3.5</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Lapse of Options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Restricted Shares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4.1</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Allocation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4.2</w:t>
            </w:r>
          </w:p>
        </w:tc>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Cessation of restrictions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4.3</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Forfeiture of Restricted Shares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C: General terms and conditions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Prohibited Dealings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Preventing inappropriate benefits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Forfeiture of Shares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Cessation of employment or engagement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Change of Control</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9.1</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of Control Events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9.2</w:t>
            </w:r>
          </w:p>
        </w:tc>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Notification of Vesting</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9.3</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Treatment of Vested Incentive Securities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9.4</w:t>
            </w:r>
          </w:p>
        </w:tc>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of shares in Acquiring Company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82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Power to adjust Rights and/or Options and the Exercise Price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82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Dividends and other rights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11.1</w:t>
            </w:r>
          </w:p>
        </w:tc>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and other rights associated with Shares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11.2</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equivalent payments and other rights associated with Rights and Options 16</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Withholding</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9"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1" w:name="page332"/>
    <w:bookmarkEnd w:id="331"/>
    <w:tbl>
      <w:tblPr>
        <w:tblLayout w:type="fixed"/>
        <w:tblInd w:w="0" w:type="dxa"/>
        <w:tblCellMar>
          <w:top w:w="0" w:type="dxa"/>
          <w:left w:w="0" w:type="dxa"/>
          <w:bottom w:w="0" w:type="dxa"/>
          <w:right w:w="0" w:type="dxa"/>
        </w:tblCellMar>
      </w:tblP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9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Amendments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13.1</w:t>
            </w:r>
          </w:p>
        </w:tc>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Power to make amendments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13.2</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Restrictions on amendments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13.3</w:t>
            </w:r>
          </w:p>
        </w:tc>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Notice of amendment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970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9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Participants based overseas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14.1</w:t>
            </w:r>
          </w:p>
        </w:tc>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Overseas transfers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14.2</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Non-Australian residents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970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97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Miscellaneous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15.1</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under the EIP</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15.2</w:t>
            </w:r>
          </w:p>
        </w:tc>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Rights and obligations of Participants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15.3</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Power of the Board to administer the EIP</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15.4</w:t>
            </w:r>
          </w:p>
        </w:tc>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Waiver of terms and conditions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15.5</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of constitution, Dodd-Frank Compensation Recovery Policy, Corporations Act and Listing Rules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15.6</w:t>
            </w:r>
          </w:p>
        </w:tc>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Dispute or disagreement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15.7</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Approved leave of absence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15.8</w:t>
            </w:r>
          </w:p>
        </w:tc>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Communication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15.9</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Data protection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15.10</w:t>
            </w:r>
          </w:p>
        </w:tc>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15.11</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of Act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15.12</w:t>
            </w:r>
          </w:p>
        </w:tc>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Laws governing EIP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gridSpan w:val="3"/>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D: Definitions and interpretation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970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9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16.1</w:t>
            </w:r>
          </w:p>
        </w:tc>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16.2</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Interpretation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2" w:name="page333"/>
    <w:bookmarkEnd w:id="332"/>
    <w:p>
      <w:pPr>
        <w:jc w:val="right"/>
        <w:spacing w:after="0"/>
        <w:rPr>
          <w:sz w:val="20"/>
          <w:szCs w:val="20"/>
          <w:color w:val="auto"/>
        </w:rPr>
      </w:pPr>
      <w:r>
        <w:rPr>
          <w:rFonts w:ascii="Times New Roman" w:cs="Times New Roman" w:eastAsia="Times New Roman" w:hAnsi="Times New Roman"/>
          <w:sz w:val="18"/>
          <w:szCs w:val="18"/>
          <w:b w:val="1"/>
          <w:bCs w:val="1"/>
          <w:color w:val="auto"/>
        </w:rPr>
        <w:t>Equity Incentive Plan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The purpose of this Equity Incentive Plan (</w:t>
      </w:r>
      <w:r>
        <w:rPr>
          <w:rFonts w:ascii="Times New Roman" w:cs="Times New Roman" w:eastAsia="Times New Roman" w:hAnsi="Times New Roman"/>
          <w:sz w:val="18"/>
          <w:szCs w:val="18"/>
          <w:b w:val="1"/>
          <w:bCs w:val="1"/>
          <w:color w:val="auto"/>
        </w:rPr>
        <w:t>EIP</w:t>
      </w:r>
      <w:r>
        <w:rPr>
          <w:rFonts w:ascii="Times New Roman" w:cs="Times New Roman" w:eastAsia="Times New Roman" w:hAnsi="Times New Roman"/>
          <w:sz w:val="18"/>
          <w:szCs w:val="18"/>
          <w:color w:val="auto"/>
        </w:rPr>
        <w:t>) is to allow the Board to make Offers to Eligible Employees to acquire securities in Telix Pharmaceuticals Limited ACN 616 620 369 (</w:t>
      </w: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 and to otherwise incentivise employees. These Rules outline the terms and conditions upon which Offers will be made, including:</w:t>
      </w:r>
    </w:p>
    <w:p>
      <w:pPr>
        <w:spacing w:after="0" w:line="171" w:lineRule="exact"/>
        <w:rPr>
          <w:sz w:val="20"/>
          <w:szCs w:val="20"/>
          <w:color w:val="auto"/>
        </w:rPr>
      </w:pPr>
    </w:p>
    <w:p>
      <w:pPr>
        <w:ind w:left="640" w:hanging="308"/>
        <w:spacing w:after="0"/>
        <w:tabs>
          <w:tab w:leader="none" w:pos="6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for making and accepting Offers under the EIP (</w:t>
      </w:r>
      <w:r>
        <w:rPr>
          <w:rFonts w:ascii="Times New Roman" w:cs="Times New Roman" w:eastAsia="Times New Roman" w:hAnsi="Times New Roman"/>
          <w:sz w:val="18"/>
          <w:szCs w:val="18"/>
          <w:b w:val="1"/>
          <w:bCs w:val="1"/>
          <w:color w:val="auto"/>
        </w:rPr>
        <w:t>Part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securities that may be offered (being Rights, Options and Restricted Shares) (</w:t>
      </w:r>
      <w:r>
        <w:rPr>
          <w:rFonts w:ascii="Times New Roman" w:cs="Times New Roman" w:eastAsia="Times New Roman" w:hAnsi="Times New Roman"/>
          <w:sz w:val="18"/>
          <w:szCs w:val="18"/>
          <w:b w:val="1"/>
          <w:bCs w:val="1"/>
          <w:color w:val="auto"/>
        </w:rPr>
        <w:t>Part B</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right="3580" w:firstLine="332"/>
        <w:spacing w:after="0" w:line="500" w:lineRule="auto"/>
        <w:tabs>
          <w:tab w:leader="none" w:pos="63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terms and conditions that apply to Shares and other securities under the EIP (</w:t>
      </w:r>
      <w:r>
        <w:rPr>
          <w:rFonts w:ascii="Times New Roman" w:cs="Times New Roman" w:eastAsia="Times New Roman" w:hAnsi="Times New Roman"/>
          <w:sz w:val="18"/>
          <w:szCs w:val="18"/>
          <w:b w:val="1"/>
          <w:bCs w:val="1"/>
          <w:color w:val="auto"/>
        </w:rPr>
        <w:t>Part C</w:t>
      </w:r>
      <w:r>
        <w:rPr>
          <w:rFonts w:ascii="Times New Roman" w:cs="Times New Roman" w:eastAsia="Times New Roman" w:hAnsi="Times New Roman"/>
          <w:sz w:val="18"/>
          <w:szCs w:val="18"/>
          <w:color w:val="auto"/>
        </w:rPr>
        <w:t>). Capitalised terms are defined in Part D of these Rules.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A: Making and accepting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660" w:hanging="652"/>
        <w:spacing w:after="0"/>
        <w:tabs>
          <w:tab w:leader="none" w:pos="660"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Offers of Incentive Securities</w:t>
      </w:r>
    </w:p>
    <w:p>
      <w:pPr>
        <w:spacing w:after="0" w:line="25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1.1Board to make invitations</w:t>
      </w:r>
    </w:p>
    <w:p>
      <w:pPr>
        <w:spacing w:after="0" w:line="229" w:lineRule="exact"/>
        <w:rPr>
          <w:rFonts w:ascii="Times New Roman" w:cs="Times New Roman" w:eastAsia="Times New Roman" w:hAnsi="Times New Roman"/>
          <w:sz w:val="18"/>
          <w:szCs w:val="18"/>
          <w:b w:val="1"/>
          <w:bCs w:val="1"/>
          <w:color w:val="auto"/>
        </w:rPr>
      </w:pPr>
    </w:p>
    <w:p>
      <w:pPr>
        <w:ind w:left="1300" w:right="300" w:hanging="644"/>
        <w:spacing w:after="0" w:line="282" w:lineRule="auto"/>
        <w:tabs>
          <w:tab w:leader="none" w:pos="130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in its absolute discretion invite Eligible Employees to participate in a grant of Incentive Securities, which may comprise any one or more 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including Share Appreciation Rights;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right="140" w:hanging="644"/>
        <w:spacing w:after="0" w:line="282" w:lineRule="auto"/>
        <w:tabs>
          <w:tab w:leader="none" w:pos="13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will be made on the terms set out in the EIP and/or on any additional or alternative terms as the Board determines, as specified in the terms of an Offer.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Information to be provided to Participants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limiting the Board’s discretion, each Eligible Employee should be advised of the following information in connection with an Offer:</w:t>
      </w:r>
    </w:p>
    <w:p>
      <w:pPr>
        <w:spacing w:after="0" w:line="225" w:lineRule="exact"/>
        <w:rPr>
          <w:sz w:val="20"/>
          <w:szCs w:val="20"/>
          <w:color w:val="auto"/>
        </w:rPr>
      </w:pPr>
    </w:p>
    <w:p>
      <w:pPr>
        <w:ind w:left="1300" w:hanging="644"/>
        <w:spacing w:after="0"/>
        <w:tabs>
          <w:tab w:leader="none" w:pos="13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number of Incentive Securities being offered, or the method by which the number will be calculated;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(if any) that will be payable for the grant of Incentive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Vesting Conditions or other conditions that apply, including any Vesting Period;</w:t>
      </w:r>
    </w:p>
    <w:p>
      <w:pPr>
        <w:spacing w:after="0" w:line="225"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3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exercising an Option or Right (including any Exercise Price that will be payable or, in the case of Share Appreciation Rights, any Notional Exercise Price) following Vesting and the period(s) during which it may be exercised;</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3" w:name="page334"/>
    <w:bookmarkEnd w:id="333"/>
    <w:p>
      <w:pPr>
        <w:ind w:left="1300" w:right="400" w:hanging="644"/>
        <w:spacing w:after="0" w:line="282" w:lineRule="auto"/>
        <w:tabs>
          <w:tab w:leader="none" w:pos="13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Board has made a determination pursuant to rules 2.2(f) or 3.2(f), that the Vesting of Rights and/or exercise of Options (as applicable) will only be satisfied through an allocation of Shares;</w:t>
      </w:r>
    </w:p>
    <w:p>
      <w:pPr>
        <w:spacing w:after="0" w:line="161" w:lineRule="exact"/>
        <w:rPr>
          <w:rFonts w:ascii="Times New Roman" w:cs="Times New Roman" w:eastAsia="Times New Roman" w:hAnsi="Times New Roman"/>
          <w:sz w:val="18"/>
          <w:szCs w:val="18"/>
          <w:color w:val="auto"/>
        </w:rPr>
      </w:pPr>
    </w:p>
    <w:p>
      <w:pPr>
        <w:ind w:left="1300" w:right="600" w:hanging="644"/>
        <w:spacing w:after="0" w:line="282" w:lineRule="auto"/>
        <w:tabs>
          <w:tab w:leader="none" w:pos="13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in which Rights and/or Options will lapse, Shares (including Restricted Shares) allocated under the EIP may be forfeited or a Participant’s entitlement to Incentive Securities may be reduced;</w:t>
      </w:r>
    </w:p>
    <w:p>
      <w:pPr>
        <w:spacing w:after="0" w:line="161"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3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Incentive Securities may be treated in the event that the Eligible Employee ceases their employment or engagement with a Group Company, and any discretions retained by the Board under rule 8 in this regard;</w:t>
      </w:r>
    </w:p>
    <w:p>
      <w:pPr>
        <w:spacing w:after="0" w:line="161" w:lineRule="exact"/>
        <w:rPr>
          <w:rFonts w:ascii="Times New Roman" w:cs="Times New Roman" w:eastAsia="Times New Roman" w:hAnsi="Times New Roman"/>
          <w:sz w:val="18"/>
          <w:szCs w:val="18"/>
          <w:color w:val="auto"/>
        </w:rPr>
      </w:pPr>
    </w:p>
    <w:p>
      <w:pPr>
        <w:ind w:left="1300" w:right="680" w:hanging="644"/>
        <w:spacing w:after="0" w:line="282" w:lineRule="auto"/>
        <w:tabs>
          <w:tab w:leader="none" w:pos="13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(including the period of restriction) on Dealing in relation to a Restricted Share or Share allocated to the Eligible Employee under this EIP;</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circumstances in which a Participant’s entitlement to Incentive Securities may be reduced or extinguished pursuant to rule 6(b);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that is required by applicable law or applicable class order or instrument that is being relied on.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Acceptance of Offer</w:t>
      </w:r>
    </w:p>
    <w:p>
      <w:pPr>
        <w:spacing w:after="0" w:line="229" w:lineRule="exact"/>
        <w:rPr>
          <w:sz w:val="20"/>
          <w:szCs w:val="20"/>
          <w:color w:val="auto"/>
        </w:rPr>
      </w:pPr>
    </w:p>
    <w:p>
      <w:pPr>
        <w:ind w:left="1300" w:right="180" w:hanging="644"/>
        <w:spacing w:after="0" w:line="282" w:lineRule="auto"/>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 Offer must be made by the Eligible Employee in accordance with the instructions that accompany the Offer, or in any other way the Board determines.</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its discretion, refuse to allow the participation of an Eligible Employee where that Eligible Employee ceases to be an Eligible Employee, or ceases to satisfy any other conditions imposed by the Board, before the grant is made.</w:t>
      </w:r>
    </w:p>
    <w:p>
      <w:pPr>
        <w:spacing w:after="0" w:line="16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limits the Board’s ability to treat the conduct of an Eligible Employee in respect of an Offer (including the failure of an Eligible Employee to lodge an election not to participate within the time specified in the instructions accompanying the Offer) as valid acceptance of that Offer under these Rules.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revoke an Offer given to an Eligible Employee prior to the date specified for the acceptance of an Offer or the grant being made, whichever is later, and such Offer will be deemed never to have been made.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Offer terms and conditions take precedence</w:t>
      </w:r>
    </w:p>
    <w:p>
      <w:pPr>
        <w:spacing w:after="0" w:line="229"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To the extent of any inconsistency, the terms and conditions advised to an Eligible Employee by the Board in an Offer will prevail over any other provision of these Rules.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No prohibited financial assistance</w:t>
      </w:r>
    </w:p>
    <w:p>
      <w:pPr>
        <w:spacing w:after="0" w:line="229"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No person may, whether directly or indirectly, provide financial assistance that is prohibited by the Corporations Act to an Eligible Employee for the purposes of, or in connection with, the acquisition or exercise of Incentive Securities under the Plan.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Quotation</w:t>
      </w:r>
    </w:p>
    <w:p>
      <w:pPr>
        <w:spacing w:after="0" w:line="229"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Options and Rights will not be quoted on ASX. Application will be made to ASX for official quotation of any Shares issued under the Plan to the extent required by the ASX Listing Rules if the Shares are listed on ASX at the time.</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color w:val="auto"/>
        </w:rPr>
        <w:t>Part B: Types of securities that may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660" w:hanging="652"/>
        <w:spacing w:after="0"/>
        <w:tabs>
          <w:tab w:leader="none" w:pos="660"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w:t>
      </w:r>
    </w:p>
    <w:p>
      <w:pPr>
        <w:spacing w:after="0" w:line="25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7"/>
          <w:szCs w:val="17"/>
          <w:b w:val="1"/>
          <w:bCs w:val="1"/>
          <w:color w:val="auto"/>
        </w:rPr>
        <w:t>Grant</w:t>
      </w:r>
    </w:p>
    <w:p>
      <w:pPr>
        <w:spacing w:after="0" w:line="229" w:lineRule="exact"/>
        <w:rPr>
          <w:rFonts w:ascii="Times New Roman" w:cs="Times New Roman" w:eastAsia="Times New Roman" w:hAnsi="Times New Roman"/>
          <w:sz w:val="18"/>
          <w:szCs w:val="18"/>
          <w:b w:val="1"/>
          <w:bCs w:val="1"/>
          <w:color w:val="auto"/>
        </w:rPr>
      </w:pPr>
    </w:p>
    <w:p>
      <w:pPr>
        <w:ind w:left="1300" w:right="460" w:hanging="644"/>
        <w:spacing w:after="0" w:line="282" w:lineRule="auto"/>
        <w:tabs>
          <w:tab w:leader="none" w:pos="130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 Eligible Employee has accepted an Offer to participate in a grant of Rights in accordance with rule 1.3(a), the Board will, subject to its discretion under rule 1.3(b), grant Rights to the Eligible Employee.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these Rules, a Right includes a Share Appreciate Right granted under rule 2.5.</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Board determines otherwise: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is required for the grant of a Right;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may not be registered in any name other than that of the Eligible Employee;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may not be transferred, assigned, charged, mortgaged or otherwise dealt with by the Eligible Employee; and</w:t>
      </w:r>
    </w:p>
    <w:p>
      <w:pPr>
        <w:spacing w:after="0" w:line="225" w:lineRule="exact"/>
        <w:rPr>
          <w:rFonts w:ascii="Times New Roman" w:cs="Times New Roman" w:eastAsia="Times New Roman" w:hAnsi="Times New Roman"/>
          <w:sz w:val="18"/>
          <w:szCs w:val="18"/>
          <w:color w:val="auto"/>
        </w:rPr>
      </w:pPr>
    </w:p>
    <w:p>
      <w:pPr>
        <w:ind w:left="1960" w:right="200" w:hanging="656"/>
        <w:spacing w:after="0" w:line="282" w:lineRule="auto"/>
        <w:tabs>
          <w:tab w:leader="none" w:pos="1960"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determine that Rights will be deemed to be immediately and automatically exercised on Vesting, if specified in the terms of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-2508250</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Vesting and exercise</w:t>
      </w:r>
    </w:p>
    <w:p>
      <w:pPr>
        <w:spacing w:after="0" w:line="229" w:lineRule="exact"/>
        <w:rPr>
          <w:sz w:val="20"/>
          <w:szCs w:val="20"/>
          <w:color w:val="auto"/>
        </w:rPr>
      </w:pPr>
    </w:p>
    <w:p>
      <w:pPr>
        <w:jc w:val="both"/>
        <w:ind w:left="1300" w:right="300" w:hanging="644"/>
        <w:spacing w:after="0" w:line="312" w:lineRule="auto"/>
        <w:tabs>
          <w:tab w:leader="none" w:pos="1300"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express rule to the contrary, a Right will only Vest and become exercisable where each Vesting Condition, and all other relevant conditions advised to the Participant by the Board pursuant to rule 1.2, have been satisfied or otherwise waived by the Board.</w:t>
      </w:r>
    </w:p>
    <w:p>
      <w:pPr>
        <w:spacing w:after="0" w:line="139" w:lineRule="exact"/>
        <w:rPr>
          <w:rFonts w:ascii="Times New Roman" w:cs="Times New Roman" w:eastAsia="Times New Roman" w:hAnsi="Times New Roman"/>
          <w:sz w:val="17"/>
          <w:szCs w:val="17"/>
          <w:color w:val="auto"/>
        </w:rPr>
      </w:pPr>
    </w:p>
    <w:p>
      <w:pPr>
        <w:ind w:left="1300" w:right="100" w:hanging="644"/>
        <w:spacing w:after="0" w:line="261" w:lineRule="auto"/>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Vesting of a Right would arise in a period where Dealings by a Participant would be prohibited, the Board may determine that Vesting will be delayed until such time as Dealings are permitted. For the avoidance of doubt, the Board may determine that Vesting will be delayed only in relation to the affected Participant or in relation to some or all of Participants who hold Rights under the EIP (irrespective of whether they are subject to the Dealing restriction).</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any Right granted under the EIP will be effected in the form and manner determined by the Board.</w:t>
      </w:r>
    </w:p>
    <w:p>
      <w:pPr>
        <w:spacing w:after="0" w:line="225"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rule 2.2(e), the Vesting and exercise of a Right will be satisfied by the Company allocating Shares to the Participant pursuant to rule 2.3.</w:t>
      </w:r>
    </w:p>
    <w:p>
      <w:pPr>
        <w:spacing w:after="0" w:line="16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determine that the Vesting and exercise of a Right will be satisfied by the Company making a cash payment in lieu of an allocation of Shares pursuant to rule 2.4. For the avoidance of doubt, the Board may determine that some or all of a Participant’s Rights will be settled in this way.</w:t>
      </w:r>
    </w:p>
    <w:p>
      <w:pPr>
        <w:spacing w:after="0" w:line="175"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determine, prior to making a grant of Rights, that the Vesting and exercise of those Rights will only be satisfied through an allocation of Shares to the Participant in accordance with rule 2.2(c), and not by making a cash payment under rule 2.2(e).</w:t>
      </w:r>
    </w:p>
    <w:p>
      <w:pPr>
        <w:spacing w:after="0" w:line="161"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occurs upon notification from the Company (or its delegate) to the Participant that a Right has Vested pursuant to this rule 2.2. The Participant has no entitlement to receive a Share under rule 2.2(d) or a cash payment under rule 2.2(e) until the Rights have Vested, and if applicable, been exercised.</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5" w:name="page336"/>
    <w:bookmarkEnd w:id="33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Allocation</w:t>
      </w:r>
    </w:p>
    <w:p>
      <w:pPr>
        <w:spacing w:after="0" w:line="229" w:lineRule="exact"/>
        <w:rPr>
          <w:sz w:val="20"/>
          <w:szCs w:val="20"/>
          <w:color w:val="auto"/>
        </w:rPr>
      </w:pPr>
    </w:p>
    <w:p>
      <w:pPr>
        <w:ind w:left="1300" w:right="40" w:hanging="644"/>
        <w:spacing w:after="0" w:line="266" w:lineRule="auto"/>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rules 2.2(e) and 2.3(c), as soon as practicable following Vesting and exercise of a Right the Board must issue to, procure the transfer to, or procure the setting aside for, the Participant the number of Shares in respect of which Rights have Vested. No further action is required on the part of the Participant.</w:t>
      </w:r>
    </w:p>
    <w:p>
      <w:pPr>
        <w:spacing w:after="0" w:line="175"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Rights that are Share Appreciation Rights, the number or fractional number of Shares allocated for each Right will be determined by the Board in accordance with rule 2.5(g).</w:t>
      </w:r>
    </w:p>
    <w:p>
      <w:pPr>
        <w:spacing w:after="0" w:line="161"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Rights held by or on behalf of a Participant who is a Director, Vested Rights must be satisfied by Shares that have been purchased on market, unless: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approval is required under the Listing Rules in respect of the Director’s participation in the EIP;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have approved the Director’s participation in the EIP to the extent required under the Listing Rules.</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determine that an allocation of Shares would be inappropriate in the circumstances, in which case the allocation may be delayed for such time as the Board considers appropriate in the circumstances.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Payment of cash equivalent</w:t>
      </w:r>
    </w:p>
    <w:p>
      <w:pPr>
        <w:spacing w:after="0" w:line="229" w:lineRule="exact"/>
        <w:rPr>
          <w:sz w:val="20"/>
          <w:szCs w:val="20"/>
          <w:color w:val="auto"/>
        </w:rPr>
      </w:pPr>
    </w:p>
    <w:p>
      <w:pPr>
        <w:ind w:left="1300" w:right="140" w:hanging="644"/>
        <w:spacing w:after="0" w:line="261" w:lineRule="auto"/>
        <w:tabs>
          <w:tab w:leader="none" w:pos="13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Board exercises its discretion under rule 2.2(e) to make a cash payment to a Participant in lieu of an allocation of Shares, the Company must pay to the Participant an amount in Australian dollars (or any other currency determined by the Board in its absolute discretion) equivalent to the value of Rights that have Vested and that the Board determines will be settled by a cash payment under rule 2.2(e).</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cash payment referred to in rule 2.4(a) will be:</w:t>
      </w:r>
    </w:p>
    <w:p>
      <w:pPr>
        <w:spacing w:after="0" w:line="225" w:lineRule="exact"/>
        <w:rPr>
          <w:rFonts w:ascii="Times New Roman" w:cs="Times New Roman" w:eastAsia="Times New Roman" w:hAnsi="Times New Roman"/>
          <w:sz w:val="18"/>
          <w:szCs w:val="18"/>
          <w:color w:val="auto"/>
        </w:rPr>
      </w:pPr>
    </w:p>
    <w:p>
      <w:pPr>
        <w:ind w:left="1960" w:right="120" w:hanging="656"/>
        <w:spacing w:after="0" w:line="282" w:lineRule="auto"/>
        <w:tabs>
          <w:tab w:leader="none" w:pos="19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multiplying the number of Shares in respect of which Rights have Vested by the Current Market Price, in the case of Rights that are not Share Appreciation Rights;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SARs Value of each Share Appreciation Right that is being settled in cash;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both cases, deemed to be inclusive of any mandatory superannuation contribution that applies to the cash payment.</w:t>
      </w:r>
    </w:p>
    <w:p>
      <w:pPr>
        <w:spacing w:after="0" w:line="225"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Board determines that the payment under rule 2.4(a) is to be made in a currency other than Australian dollars, unless the Board determines otherwise, the foreign exchange rate applied will be the average closing exchange rate of the relevant currency for the 5 days prior to the date of Vesting.</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Share Appreciation Rights</w:t>
      </w:r>
    </w:p>
    <w:p>
      <w:pPr>
        <w:spacing w:after="0" w:line="225" w:lineRule="exact"/>
        <w:rPr>
          <w:sz w:val="20"/>
          <w:szCs w:val="20"/>
          <w:color w:val="auto"/>
        </w:rPr>
      </w:pPr>
    </w:p>
    <w:p>
      <w:pPr>
        <w:ind w:left="1300" w:hanging="644"/>
        <w:spacing w:after="0"/>
        <w:tabs>
          <w:tab w:leader="none" w:pos="13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granted under this rule 2.5 are referred to as </w:t>
      </w:r>
      <w:r>
        <w:rPr>
          <w:rFonts w:ascii="Times New Roman" w:cs="Times New Roman" w:eastAsia="Times New Roman" w:hAnsi="Times New Roman"/>
          <w:sz w:val="18"/>
          <w:szCs w:val="18"/>
          <w:b w:val="1"/>
          <w:bCs w:val="1"/>
          <w:color w:val="auto"/>
        </w:rPr>
        <w:t>Share Appreciation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1300" w:right="120" w:hanging="644"/>
        <w:spacing w:after="0" w:line="266" w:lineRule="auto"/>
        <w:tabs>
          <w:tab w:leader="none" w:pos="13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determine that Share Appreciation Rights will be granted to an Eligible Employee, being Rights that only produce value when, at the time of Vesting and exercise, the Current Market Price exceeds a notional price determined by the Board which is specified in the Offer of the Share Appreciation Rights (</w:t>
      </w:r>
      <w:r>
        <w:rPr>
          <w:rFonts w:ascii="Times New Roman" w:cs="Times New Roman" w:eastAsia="Times New Roman" w:hAnsi="Times New Roman"/>
          <w:sz w:val="18"/>
          <w:szCs w:val="18"/>
          <w:b w:val="1"/>
          <w:bCs w:val="1"/>
          <w:color w:val="auto"/>
        </w:rPr>
        <w:t>Notional Exercise Price</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6" w:name="page337"/>
    <w:bookmarkEnd w:id="336"/>
    <w:p>
      <w:pPr>
        <w:ind w:left="1300" w:right="100" w:hanging="644"/>
        <w:spacing w:after="0" w:line="261" w:lineRule="auto"/>
        <w:tabs>
          <w:tab w:leader="none" w:pos="13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Notional Exercise Price of a Share Appreciation Right is not an amount payable in cash on exercise of the Share Appreciation Right but rather a notional amount used to determine the value of the Share Appreciation Right (if any) at the time of exercise, by reference to the Current Market Price. Accordingly, Share Appreciation Rights are functionally equivalent to an Option that can be exercised on a cashless basis.</w:t>
      </w:r>
    </w:p>
    <w:p>
      <w:pPr>
        <w:spacing w:after="0" w:line="175" w:lineRule="exact"/>
        <w:rPr>
          <w:rFonts w:ascii="Times New Roman" w:cs="Times New Roman" w:eastAsia="Times New Roman" w:hAnsi="Times New Roman"/>
          <w:sz w:val="18"/>
          <w:szCs w:val="18"/>
          <w:color w:val="auto"/>
        </w:rPr>
      </w:pPr>
    </w:p>
    <w:p>
      <w:pPr>
        <w:ind w:left="1300" w:right="160" w:hanging="644"/>
        <w:spacing w:after="0" w:line="286" w:lineRule="auto"/>
        <w:tabs>
          <w:tab w:leader="none" w:pos="13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realised for each Share Appreciation Right granted under rule 2.5(a) (</w:t>
      </w:r>
      <w:r>
        <w:rPr>
          <w:rFonts w:ascii="Times New Roman" w:cs="Times New Roman" w:eastAsia="Times New Roman" w:hAnsi="Times New Roman"/>
          <w:sz w:val="18"/>
          <w:szCs w:val="18"/>
          <w:b w:val="1"/>
          <w:bCs w:val="1"/>
          <w:color w:val="auto"/>
        </w:rPr>
        <w:t>SARs Value</w:t>
      </w:r>
      <w:r>
        <w:rPr>
          <w:rFonts w:ascii="Times New Roman" w:cs="Times New Roman" w:eastAsia="Times New Roman" w:hAnsi="Times New Roman"/>
          <w:sz w:val="18"/>
          <w:szCs w:val="18"/>
          <w:color w:val="auto"/>
        </w:rPr>
        <w:t>) is calculated at the time of exercise of the Share Appreciation Right as:</w:t>
      </w:r>
    </w:p>
    <w:p>
      <w:pPr>
        <w:spacing w:after="0" w:line="157" w:lineRule="exact"/>
        <w:rPr>
          <w:sz w:val="20"/>
          <w:szCs w:val="20"/>
          <w:color w:val="auto"/>
        </w:rPr>
      </w:pPr>
    </w:p>
    <w:tbl>
      <w:tblPr>
        <w:tblLayout w:type="fixed"/>
        <w:tblInd w:w="1310" w:type="dxa"/>
        <w:tblCellMar>
          <w:top w:w="0" w:type="dxa"/>
          <w:left w:w="0" w:type="dxa"/>
          <w:bottom w:w="0" w:type="dxa"/>
          <w:right w:w="0" w:type="dxa"/>
        </w:tblCellMar>
      </w:tblPr>
      <w:tr>
        <w:trPr>
          <w:trHeight w:val="223"/>
        </w:trPr>
        <w:tc>
          <w:tcPr>
            <w:tcW w:w="22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SARs Value for each Right</w:t>
            </w:r>
          </w:p>
        </w:tc>
        <w:tc>
          <w:tcPr>
            <w:tcW w:w="30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w:t>
            </w:r>
          </w:p>
        </w:tc>
        <w:tc>
          <w:tcPr>
            <w:tcW w:w="38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Current Market Price at the time of exercise of the</w:t>
            </w:r>
          </w:p>
        </w:tc>
        <w:tc>
          <w:tcPr>
            <w:tcW w:w="14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less</w:t>
            </w:r>
          </w:p>
        </w:tc>
        <w:tc>
          <w:tcPr>
            <w:tcW w:w="20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Notional Exercise Price</w:t>
            </w:r>
          </w:p>
        </w:tc>
      </w:tr>
      <w:tr>
        <w:trPr>
          <w:trHeight w:val="236"/>
        </w:trPr>
        <w:tc>
          <w:tcPr>
            <w:tcW w:w="2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exercised</w:t>
            </w:r>
          </w:p>
        </w:tc>
        <w:tc>
          <w:tcPr>
            <w:tcW w:w="30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Share Appreciation Right</w:t>
            </w:r>
          </w:p>
        </w:tc>
        <w:tc>
          <w:tcPr>
            <w:tcW w:w="148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r>
      <w:tr>
        <w:trPr>
          <w:trHeight w:val="223"/>
        </w:trPr>
        <w:tc>
          <w:tcPr>
            <w:tcW w:w="2240" w:type="dxa"/>
            <w:vAlign w:val="bottom"/>
            <w:tcBorders>
              <w:left w:val="single" w:sz="8" w:color="auto"/>
              <w:bottom w:val="single" w:sz="8" w:color="auto"/>
              <w:right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38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r>
    </w:tbl>
    <w:p>
      <w:pPr>
        <w:spacing w:after="0" w:line="198" w:lineRule="exact"/>
        <w:rPr>
          <w:sz w:val="20"/>
          <w:szCs w:val="20"/>
          <w:color w:val="auto"/>
        </w:rPr>
      </w:pPr>
    </w:p>
    <w:p>
      <w:pPr>
        <w:ind w:left="1300" w:right="460" w:hanging="644"/>
        <w:spacing w:after="0" w:line="282" w:lineRule="auto"/>
        <w:tabs>
          <w:tab w:leader="none" w:pos="13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SARs Value at the time of exercise is zero or negative, the Share Appreciation Right will have no value and the Participant will have no entitlement to cash or Shares on exercise of the Share Appreciation Right.</w:t>
      </w:r>
    </w:p>
    <w:p>
      <w:pPr>
        <w:spacing w:after="0" w:line="161" w:lineRule="exact"/>
        <w:rPr>
          <w:rFonts w:ascii="Times New Roman" w:cs="Times New Roman" w:eastAsia="Times New Roman" w:hAnsi="Times New Roman"/>
          <w:sz w:val="18"/>
          <w:szCs w:val="18"/>
          <w:color w:val="auto"/>
        </w:rPr>
      </w:pPr>
    </w:p>
    <w:p>
      <w:pPr>
        <w:jc w:val="both"/>
        <w:ind w:left="1300" w:right="120" w:hanging="644"/>
        <w:spacing w:after="0" w:line="266" w:lineRule="auto"/>
        <w:tabs>
          <w:tab w:leader="none" w:pos="13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SARs Value of a Share Appreciation Right at the time of its exercise is positive, each Share Appreciation Right will have value and the Participant will be entitled to realise that value by the payment of cash, the issue of Shares or both (as determined by the Board in accordance with these Rules).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Share Appreciation Rights are to be satisfied by the allocation of Shares, the total number of Shares to be allocated at the time of exercise of the Share Appreciation Rights will be calculated by:</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calculating the SARs Value of each Share Appreciation Right;</w:t>
      </w:r>
    </w:p>
    <w:p>
      <w:pPr>
        <w:spacing w:after="0" w:line="225" w:lineRule="exact"/>
        <w:rPr>
          <w:rFonts w:ascii="Times New Roman" w:cs="Times New Roman" w:eastAsia="Times New Roman" w:hAnsi="Times New Roman"/>
          <w:sz w:val="18"/>
          <w:szCs w:val="18"/>
          <w:color w:val="auto"/>
        </w:rPr>
      </w:pPr>
    </w:p>
    <w:p>
      <w:pPr>
        <w:ind w:left="1960" w:right="460" w:hanging="656"/>
        <w:spacing w:after="0" w:line="282" w:lineRule="auto"/>
        <w:tabs>
          <w:tab w:leader="none" w:pos="196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multiplying the SARs Value for each relevant Share Appreciation Right by the total number of Share Appreciation Rights exercised (</w:t>
      </w:r>
      <w:r>
        <w:rPr>
          <w:rFonts w:ascii="Times New Roman" w:cs="Times New Roman" w:eastAsia="Times New Roman" w:hAnsi="Times New Roman"/>
          <w:sz w:val="18"/>
          <w:szCs w:val="18"/>
          <w:b w:val="1"/>
          <w:bCs w:val="1"/>
          <w:color w:val="auto"/>
        </w:rPr>
        <w:t>Total SARs Value</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dividing the Total SARs Value by the Current Market Price (rounding up to the nearest whole number).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Lapse of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Right will lapse upon the earliest to occur of:</w:t>
      </w:r>
    </w:p>
    <w:p>
      <w:pPr>
        <w:spacing w:after="0" w:line="225" w:lineRule="exact"/>
        <w:rPr>
          <w:sz w:val="20"/>
          <w:szCs w:val="20"/>
          <w:color w:val="auto"/>
        </w:rPr>
      </w:pPr>
    </w:p>
    <w:p>
      <w:pPr>
        <w:ind w:left="1300" w:hanging="644"/>
        <w:spacing w:after="0"/>
        <w:tabs>
          <w:tab w:leader="none" w:pos="13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years after the date on which the Rights were allocated to the Participant, or any other date nominated as the expiry date in the Offer;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lapsing in accordance with a provision of these Rules (including in accordance with a term of an Offer);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a Vesting Condition or any other condition applicable to the Right within the Vesting Period;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Company of a notice in writing from a Participant to the effect that the Participant has elected to surrender the Right.</w:t>
      </w:r>
    </w:p>
    <w:p>
      <w:pPr>
        <w:spacing w:after="0" w:line="221" w:lineRule="exact"/>
        <w:rPr>
          <w:sz w:val="20"/>
          <w:szCs w:val="20"/>
          <w:color w:val="auto"/>
        </w:rPr>
      </w:pPr>
    </w:p>
    <w:p>
      <w:pPr>
        <w:ind w:left="660" w:hanging="652"/>
        <w:spacing w:after="0"/>
        <w:tabs>
          <w:tab w:leader="none" w:pos="660"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w:t>
      </w:r>
    </w:p>
    <w:p>
      <w:pPr>
        <w:spacing w:after="0" w:line="25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7"/>
          <w:szCs w:val="17"/>
          <w:b w:val="1"/>
          <w:bCs w:val="1"/>
          <w:color w:val="auto"/>
        </w:rPr>
        <w:t>Grant</w:t>
      </w:r>
    </w:p>
    <w:p>
      <w:pPr>
        <w:spacing w:after="0" w:line="229" w:lineRule="exact"/>
        <w:rPr>
          <w:rFonts w:ascii="Times New Roman" w:cs="Times New Roman" w:eastAsia="Times New Roman" w:hAnsi="Times New Roman"/>
          <w:sz w:val="18"/>
          <w:szCs w:val="18"/>
          <w:b w:val="1"/>
          <w:bCs w:val="1"/>
          <w:color w:val="auto"/>
        </w:rPr>
      </w:pPr>
    </w:p>
    <w:p>
      <w:pPr>
        <w:ind w:left="1300" w:right="20" w:hanging="644"/>
        <w:spacing w:after="0" w:line="282" w:lineRule="auto"/>
        <w:tabs>
          <w:tab w:leader="none" w:pos="130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 Eligible Employee has accepted an Offer to participate in a grant of Options in accordance with rule 1.3(a), the Board will, subject to its discretion under rule 1.3(b), grant Options to the Eligible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-725170</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7" w:name="page338"/>
    <w:bookmarkEnd w:id="337"/>
    <w:p>
      <w:pPr>
        <w:ind w:left="1300" w:hanging="644"/>
        <w:spacing w:after="0"/>
        <w:tabs>
          <w:tab w:leader="none" w:pos="13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Board determines otherwise: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is required for the grant of an Option;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may not be registered in any name other than that of the Eligible Employee;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may not be transferred, assigned, charged, mortgaged or otherwise dealt with by the Eligible Employee.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Vesting and exercise</w:t>
      </w:r>
    </w:p>
    <w:p>
      <w:pPr>
        <w:spacing w:after="0" w:line="229" w:lineRule="exact"/>
        <w:rPr>
          <w:sz w:val="20"/>
          <w:szCs w:val="20"/>
          <w:color w:val="auto"/>
        </w:rPr>
      </w:pPr>
    </w:p>
    <w:p>
      <w:pPr>
        <w:ind w:left="1300" w:right="120" w:hanging="644"/>
        <w:spacing w:after="0" w:line="266" w:lineRule="auto"/>
        <w:tabs>
          <w:tab w:leader="none" w:pos="130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express rule to the contrary, an Option granted under the EIP will only Vest and become exercisable where each Vesting Condition, and all other relevant conditions advised to the Participant by the Board pursuant to rule 1.2, have been satisfied or otherwise waived by the Board.</w:t>
      </w:r>
    </w:p>
    <w:p>
      <w:pPr>
        <w:spacing w:after="0" w:line="175" w:lineRule="exact"/>
        <w:rPr>
          <w:rFonts w:ascii="Times New Roman" w:cs="Times New Roman" w:eastAsia="Times New Roman" w:hAnsi="Times New Roman"/>
          <w:sz w:val="18"/>
          <w:szCs w:val="18"/>
          <w:color w:val="auto"/>
        </w:rPr>
      </w:pPr>
    </w:p>
    <w:p>
      <w:pPr>
        <w:ind w:left="1300" w:right="100" w:hanging="644"/>
        <w:spacing w:after="0" w:line="261" w:lineRule="auto"/>
        <w:tabs>
          <w:tab w:leader="none" w:pos="130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Vesting of an Option would arise in a period where Dealings by a Participant would be prohibited, the Board may determine that Vesting will be delayed until such time as Dealings are permitted. For the avoidance of doubt, the Board may determine that Vesting will be delayed only in relation to the affected Participant or in relation to some or all of Participants who hold Options under the EIP (irrespective of whether they are subject to the Dealing restriction).</w:t>
      </w:r>
    </w:p>
    <w:p>
      <w:pPr>
        <w:spacing w:after="0" w:line="179"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30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any Option granted under the EIP will be effected in the form and manner determined by the Board, and, subject to rule 3.4(a), must be accompanied by payment of the relevant Exercise Price (if any).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rule 3.2(e), the exercise of an Option will be satisfied by the Company allocating Shares to the Participant pursuant to rule 3.3.</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determine that the exercise of an Option will be satisfied by the Company making a cash payment in lieu of an allocation of Shares pursuant to rule 3.4. For the avoidance of doubt, the Board may determine that some or all of a Participant’s Options will be settled in this way.</w:t>
      </w:r>
    </w:p>
    <w:p>
      <w:pPr>
        <w:spacing w:after="0" w:line="175" w:lineRule="exact"/>
        <w:rPr>
          <w:rFonts w:ascii="Times New Roman" w:cs="Times New Roman" w:eastAsia="Times New Roman" w:hAnsi="Times New Roman"/>
          <w:sz w:val="18"/>
          <w:szCs w:val="18"/>
          <w:color w:val="auto"/>
        </w:rPr>
      </w:pPr>
    </w:p>
    <w:p>
      <w:pPr>
        <w:ind w:left="1300" w:right="640" w:hanging="644"/>
        <w:spacing w:after="0" w:line="282" w:lineRule="auto"/>
        <w:tabs>
          <w:tab w:leader="none" w:pos="130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determine, prior to making a grant of Options, that the exercise of those Options will only be satisfied through an allocation of Shares to the Participant in accordance with rule 3.2(d) and not by making a cash payment under rule 3.2(e).</w:t>
      </w:r>
    </w:p>
    <w:p>
      <w:pPr>
        <w:spacing w:after="0" w:line="161" w:lineRule="exact"/>
        <w:rPr>
          <w:rFonts w:ascii="Times New Roman" w:cs="Times New Roman" w:eastAsia="Times New Roman" w:hAnsi="Times New Roman"/>
          <w:sz w:val="18"/>
          <w:szCs w:val="18"/>
          <w:color w:val="auto"/>
        </w:rPr>
      </w:pPr>
    </w:p>
    <w:p>
      <w:pPr>
        <w:jc w:val="both"/>
        <w:ind w:left="1300" w:right="80" w:hanging="644"/>
        <w:spacing w:after="0" w:line="266" w:lineRule="auto"/>
        <w:tabs>
          <w:tab w:leader="none" w:pos="130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occurs upon notification from the Company (or its delegate) to the Participant that an Option has Vested pursuant to this rule 3.2. The Participant has no entitlement to receive a Share under rule 3.2(d) or a cash payment under rule 3.2(e) until the Options have Vested and been exercised.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Allocation following exercise</w:t>
      </w:r>
    </w:p>
    <w:p>
      <w:pPr>
        <w:spacing w:after="0" w:line="229" w:lineRule="exact"/>
        <w:rPr>
          <w:sz w:val="20"/>
          <w:szCs w:val="20"/>
          <w:color w:val="auto"/>
        </w:rPr>
      </w:pPr>
    </w:p>
    <w:p>
      <w:pPr>
        <w:ind w:left="1300" w:right="120" w:hanging="644"/>
        <w:spacing w:after="0" w:line="266" w:lineRule="auto"/>
        <w:tabs>
          <w:tab w:leader="none" w:pos="13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rules 3.2(c), 3.2(e) and 3.3(b), as soon as practicable following the exercise of an Option, the Board must issue to, procure the transfer to, or procure the setting aside for, the Participant the number of Shares in respect of which Options have been exercised. No further action is required on the part of the Participant.</w:t>
      </w:r>
    </w:p>
    <w:p>
      <w:pPr>
        <w:spacing w:after="0" w:line="175"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Options held by or on behalf of a Participant who is a Director, Vested Options must be satisfied by Shares that have been purchased on market, unless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approval is required under the Listing Rules in respect of the Director’s participation in the EIP;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have approved the Director’s participation in the EIP to the extent required under the Listing Rules.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8" w:name="page339"/>
    <w:bookmarkEnd w:id="338"/>
    <w:p>
      <w:pPr>
        <w:ind w:left="1300" w:right="160" w:hanging="644"/>
        <w:spacing w:after="0" w:line="282" w:lineRule="auto"/>
        <w:tabs>
          <w:tab w:leader="none" w:pos="13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determine that an allocation of Shares would be inappropriate in the circumstances, in which case the allocation may be delayed for such time as the Board considers appropriate in the circumstances.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Payment of cash equivalent</w:t>
      </w:r>
    </w:p>
    <w:p>
      <w:pPr>
        <w:spacing w:after="0" w:line="229" w:lineRule="exact"/>
        <w:rPr>
          <w:sz w:val="20"/>
          <w:szCs w:val="20"/>
          <w:color w:val="auto"/>
        </w:rPr>
      </w:pPr>
    </w:p>
    <w:p>
      <w:pPr>
        <w:ind w:left="1300" w:right="180" w:hanging="644"/>
        <w:spacing w:after="0" w:line="282" w:lineRule="auto"/>
        <w:tabs>
          <w:tab w:leader="none" w:pos="13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Board exercises its discretion under rule 3.2(e) to make a cash payment to a Participant in lieu of an allocation of Shares, the Company must:</w:t>
      </w:r>
    </w:p>
    <w:p>
      <w:pPr>
        <w:spacing w:after="0" w:line="161" w:lineRule="exact"/>
        <w:rPr>
          <w:rFonts w:ascii="Times New Roman" w:cs="Times New Roman" w:eastAsia="Times New Roman" w:hAnsi="Times New Roman"/>
          <w:sz w:val="18"/>
          <w:szCs w:val="18"/>
          <w:color w:val="auto"/>
        </w:rPr>
      </w:pPr>
    </w:p>
    <w:p>
      <w:pPr>
        <w:ind w:left="1960" w:right="280" w:hanging="656"/>
        <w:spacing w:after="0" w:line="312" w:lineRule="auto"/>
        <w:tabs>
          <w:tab w:leader="none" w:pos="1960" w:val="left"/>
        </w:tabs>
        <w:numPr>
          <w:ilvl w:val="1"/>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 the Participant that no Exercise Price is payable in respect of the Options exercised that the Board determines will be settled by a cash payment under rule 3.2(e) and/or refund any amount paid by the Participant in respect of those Options; and</w:t>
      </w:r>
    </w:p>
    <w:p>
      <w:pPr>
        <w:spacing w:after="0" w:line="139" w:lineRule="exact"/>
        <w:rPr>
          <w:rFonts w:ascii="Times New Roman" w:cs="Times New Roman" w:eastAsia="Times New Roman" w:hAnsi="Times New Roman"/>
          <w:sz w:val="17"/>
          <w:szCs w:val="17"/>
          <w:color w:val="auto"/>
        </w:rPr>
      </w:pPr>
    </w:p>
    <w:p>
      <w:pPr>
        <w:jc w:val="both"/>
        <w:ind w:left="1960" w:right="220" w:hanging="656"/>
        <w:spacing w:after="0" w:line="266" w:lineRule="auto"/>
        <w:tabs>
          <w:tab w:leader="none" w:pos="196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pay to the Participant an amount in Australian dollars (or any other currency determined by the Board in its absolute discretion) equivalent to the value of Options that have been exercised by the Participant and that the Board determines will be settled by a cash payment under rule 3.2(e).</w:t>
      </w:r>
    </w:p>
    <w:p>
      <w:pPr>
        <w:spacing w:after="0" w:line="175"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cash payment referred to in rule 3.4(a)(ii) will be calculated by multiplying the number of Shares in respect of which Options have been exercised and that the Board determines will be settled by a cash payment under rule 3.2(e) by the Current Market Price, less any Exercise Price that would otherwise have been payable in respect of those Options exercised.</w:t>
      </w:r>
    </w:p>
    <w:p>
      <w:pPr>
        <w:spacing w:after="0" w:line="175"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Board determines that the payment under rule 3.4(a)(ii) is to be made in a currency other than Australian dollars, unless the Board determines otherwise, the foreign exchange rate applied will be the average closing exchange rate of the relevant currency for the 5 days prior to the date of exercise.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7"/>
          <w:szCs w:val="17"/>
          <w:b w:val="1"/>
          <w:bCs w:val="1"/>
          <w:color w:val="auto"/>
        </w:rPr>
        <w:t>Lapse of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Option will lapse upon the earliest to occur of:</w:t>
      </w:r>
    </w:p>
    <w:p>
      <w:pPr>
        <w:spacing w:after="0" w:line="225" w:lineRule="exact"/>
        <w:rPr>
          <w:sz w:val="20"/>
          <w:szCs w:val="20"/>
          <w:color w:val="auto"/>
        </w:rPr>
      </w:pPr>
    </w:p>
    <w:p>
      <w:pPr>
        <w:ind w:left="1300" w:hanging="644"/>
        <w:spacing w:after="0"/>
        <w:tabs>
          <w:tab w:leader="none" w:pos="13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years after the date on which the Options were allocated to the Participant, or any other date nominated as the expiry date in the Offer;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lapsing in accordance with a provision of these Rules (including in accordance with a term of an Offer);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a Vesting Condition or any other condition applicable to the Option within the Vesting Period;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Company of a notice in writing from a Participant to the effect that the Participant has elected to surrender the Option.</w:t>
      </w:r>
    </w:p>
    <w:p>
      <w:pPr>
        <w:spacing w:after="0" w:line="221" w:lineRule="exact"/>
        <w:rPr>
          <w:sz w:val="20"/>
          <w:szCs w:val="20"/>
          <w:color w:val="auto"/>
        </w:rPr>
      </w:pPr>
    </w:p>
    <w:p>
      <w:pPr>
        <w:ind w:left="660" w:hanging="652"/>
        <w:spacing w:after="0"/>
        <w:tabs>
          <w:tab w:leader="none" w:pos="660"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Shares</w:t>
      </w:r>
    </w:p>
    <w:p>
      <w:pPr>
        <w:spacing w:after="0" w:line="25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7"/>
          <w:szCs w:val="17"/>
          <w:b w:val="1"/>
          <w:bCs w:val="1"/>
          <w:color w:val="auto"/>
        </w:rPr>
        <w:t>Allocation</w:t>
      </w:r>
    </w:p>
    <w:p>
      <w:pPr>
        <w:spacing w:after="0" w:line="229" w:lineRule="exact"/>
        <w:rPr>
          <w:rFonts w:ascii="Times New Roman" w:cs="Times New Roman" w:eastAsia="Times New Roman" w:hAnsi="Times New Roman"/>
          <w:sz w:val="18"/>
          <w:szCs w:val="18"/>
          <w:b w:val="1"/>
          <w:bCs w:val="1"/>
          <w:color w:val="auto"/>
        </w:rPr>
      </w:pPr>
    </w:p>
    <w:p>
      <w:pPr>
        <w:ind w:left="1300" w:right="120" w:hanging="644"/>
        <w:spacing w:after="0" w:line="282" w:lineRule="auto"/>
        <w:tabs>
          <w:tab w:leader="none" w:pos="130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an Eligible Employee has accepted an Offer to participate in a grant of Restricted Shares in accordance with rule 1.3(a), the Board must, subject to its discretion under rule 1.3(b), allocate the Restricted Shares by either: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Restricted Shares to;</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the transfer of Restricted Shares to;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the setting aside of Restricted Shares for, the Eligible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9" w:name="page340"/>
    <w:bookmarkEnd w:id="339"/>
    <w:p>
      <w:pPr>
        <w:ind w:left="1300" w:right="160" w:hanging="644"/>
        <w:spacing w:after="0" w:line="282" w:lineRule="auto"/>
        <w:tabs>
          <w:tab w:leader="none" w:pos="13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determine that an allocation of Shares would be inappropriate in the circumstances, in which case the allocation may be delayed for such time as the Board considers appropriate in the circumstances.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Board determines otherwise: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is required for the grant of a Restricted Share;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may not be registered in any name other than that of the Eligible Employee or the Trustee.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Cessation of restrictions</w:t>
      </w:r>
    </w:p>
    <w:p>
      <w:pPr>
        <w:spacing w:after="0" w:line="229" w:lineRule="exact"/>
        <w:rPr>
          <w:sz w:val="20"/>
          <w:szCs w:val="20"/>
          <w:color w:val="auto"/>
        </w:rPr>
      </w:pPr>
    </w:p>
    <w:p>
      <w:pPr>
        <w:ind w:left="1300" w:hanging="644"/>
        <w:spacing w:after="0"/>
        <w:tabs>
          <w:tab w:leader="none" w:pos="130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express rule to the contrary, a Share only ceases to be a Restricted Share (i.e. Vests) where:</w:t>
      </w:r>
    </w:p>
    <w:p>
      <w:pPr>
        <w:spacing w:after="0" w:line="225" w:lineRule="exact"/>
        <w:rPr>
          <w:rFonts w:ascii="Times New Roman" w:cs="Times New Roman" w:eastAsia="Times New Roman" w:hAnsi="Times New Roman"/>
          <w:sz w:val="18"/>
          <w:szCs w:val="18"/>
          <w:color w:val="auto"/>
        </w:rPr>
      </w:pPr>
    </w:p>
    <w:p>
      <w:pPr>
        <w:ind w:left="1960" w:right="200" w:hanging="656"/>
        <w:spacing w:after="0" w:line="282" w:lineRule="auto"/>
        <w:tabs>
          <w:tab w:leader="none" w:pos="196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Period and each other relevant condition (including all Vesting Conditions) advised to the Participant by the Board pursuant to rule 1.2 have been satisfied or otherwise waived by the Board;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notifies the Participant that the restrictions in respect of the Restricted Share have ceased or no longer apply.</w:t>
      </w:r>
    </w:p>
    <w:p>
      <w:pPr>
        <w:spacing w:after="0" w:line="225" w:lineRule="exact"/>
        <w:rPr>
          <w:rFonts w:ascii="Times New Roman" w:cs="Times New Roman" w:eastAsia="Times New Roman" w:hAnsi="Times New Roman"/>
          <w:sz w:val="18"/>
          <w:szCs w:val="18"/>
          <w:color w:val="auto"/>
        </w:rPr>
      </w:pPr>
    </w:p>
    <w:p>
      <w:pPr>
        <w:ind w:left="1300" w:right="580" w:hanging="644"/>
        <w:spacing w:after="0" w:line="282" w:lineRule="auto"/>
        <w:tabs>
          <w:tab w:leader="none" w:pos="130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an Offer and the Securities Dealing Policy, when a Share ceases to be a Restricted Share, all restrictions on disposing of, or otherwise Dealing with, that Share, as set out in these Rules, will cease.</w:t>
      </w:r>
    </w:p>
    <w:p>
      <w:pPr>
        <w:spacing w:after="0" w:line="161" w:lineRule="exact"/>
        <w:rPr>
          <w:rFonts w:ascii="Times New Roman" w:cs="Times New Roman" w:eastAsia="Times New Roman" w:hAnsi="Times New Roman"/>
          <w:sz w:val="18"/>
          <w:szCs w:val="18"/>
          <w:color w:val="auto"/>
        </w:rPr>
      </w:pPr>
    </w:p>
    <w:p>
      <w:pPr>
        <w:ind w:left="1300" w:right="240" w:hanging="644"/>
        <w:spacing w:after="0" w:line="261" w:lineRule="auto"/>
        <w:tabs>
          <w:tab w:leader="none" w:pos="130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Vesting of a Restricted Share would arise in a period where Dealings by a Participant would be prohibited, the Board may determine that Vesting will be delayed until such time as Dealings are permitted. For the avoidance of doubt, the Board may determine that Vesting will be delayed only in relation to the affected Participant or in relation to some or all of Participants who hold Restricted Shares under the EIP (irrespective of whether they are subject to the Dealing restriction).</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provided otherwise in the terms of an Offer, when a Share that is held by the Trustee on behalf of a Participant ceases to be a Restricted Share, the Trustee will continue to hold the Share on trust on behalf of the Participant until such time as the Participant, or the Company on behalf of the Participant, directs the Trustee to:</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Share into the Participant’s name; or</w:t>
      </w:r>
    </w:p>
    <w:p>
      <w:pPr>
        <w:spacing w:after="0" w:line="225" w:lineRule="exact"/>
        <w:rPr>
          <w:rFonts w:ascii="Times New Roman" w:cs="Times New Roman" w:eastAsia="Times New Roman" w:hAnsi="Times New Roman"/>
          <w:sz w:val="18"/>
          <w:szCs w:val="18"/>
          <w:color w:val="auto"/>
        </w:rPr>
      </w:pPr>
    </w:p>
    <w:p>
      <w:pPr>
        <w:ind w:left="1960" w:right="120" w:hanging="656"/>
        <w:spacing w:after="0" w:line="282" w:lineRule="auto"/>
        <w:tabs>
          <w:tab w:leader="none" w:pos="196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the Share and pay the proceeds of sale (net of any applicable brokerage, commission, stamp duty or other transaction costs) to the Participant.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Forfeiture of Restricted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Restricted Share will be forfeited upon the earliest to occur of:</w:t>
      </w:r>
    </w:p>
    <w:p>
      <w:pPr>
        <w:spacing w:after="0" w:line="225" w:lineRule="exact"/>
        <w:rPr>
          <w:sz w:val="20"/>
          <w:szCs w:val="20"/>
          <w:color w:val="auto"/>
        </w:rPr>
      </w:pPr>
    </w:p>
    <w:p>
      <w:pPr>
        <w:ind w:left="1300" w:hanging="644"/>
        <w:spacing w:after="0"/>
        <w:tabs>
          <w:tab w:leader="none" w:pos="13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Share being forfeited in accordance with a provision of these Rules (including in accordance a term of an Offer);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meet a Vesting Condition or any other condition applicable to the Restricted Share within the Vesting Period; or</w:t>
      </w:r>
    </w:p>
    <w:p>
      <w:pPr>
        <w:spacing w:after="0" w:line="225" w:lineRule="exact"/>
        <w:rPr>
          <w:rFonts w:ascii="Times New Roman" w:cs="Times New Roman" w:eastAsia="Times New Roman" w:hAnsi="Times New Roman"/>
          <w:sz w:val="18"/>
          <w:szCs w:val="18"/>
          <w:color w:val="auto"/>
        </w:rPr>
      </w:pPr>
    </w:p>
    <w:p>
      <w:pPr>
        <w:ind w:left="1300" w:right="740" w:hanging="644"/>
        <w:spacing w:after="0" w:line="282" w:lineRule="auto"/>
        <w:tabs>
          <w:tab w:leader="none" w:pos="13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Company of a notice in writing from a Participant to the effect that the Participant has elected to surrender the Restricted Share.</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color w:val="auto"/>
        </w:rPr>
        <w:t>Part C: General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660" w:hanging="652"/>
        <w:spacing w:after="0"/>
        <w:tabs>
          <w:tab w:leader="none" w:pos="660"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Prohibited Dealings</w:t>
      </w:r>
    </w:p>
    <w:p>
      <w:pPr>
        <w:spacing w:after="0" w:line="256"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Securities Dealing Policy, any Dealing in respect of an Incentive Security is prohibited unless: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otherwise;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Dealing is required by law and the Participant has provided satisfactory evidence to the Company of that fact.</w:t>
      </w:r>
    </w:p>
    <w:p>
      <w:pPr>
        <w:spacing w:after="0" w:line="225"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opinion of the Board, a Participant Deals with a Right or an Option in contravention of rule 5(a), the Right or Option will immediately lapse.</w:t>
      </w:r>
    </w:p>
    <w:p>
      <w:pPr>
        <w:spacing w:after="0" w:line="161" w:lineRule="exact"/>
        <w:rPr>
          <w:rFonts w:ascii="Times New Roman" w:cs="Times New Roman" w:eastAsia="Times New Roman" w:hAnsi="Times New Roman"/>
          <w:sz w:val="18"/>
          <w:szCs w:val="18"/>
          <w:color w:val="auto"/>
        </w:rPr>
      </w:pPr>
    </w:p>
    <w:p>
      <w:pPr>
        <w:ind w:left="1300" w:right="700" w:hanging="644"/>
        <w:spacing w:after="0" w:line="282" w:lineRule="auto"/>
        <w:tabs>
          <w:tab w:leader="none" w:pos="13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opinion of the Board, the Participant (or the Trustee at the Participant’s direction) Deals with a Restricted Share in contravention of rule 5(a), the Restricted Share is deemed to immediately be forfeited.</w:t>
      </w:r>
    </w:p>
    <w:p>
      <w:pPr>
        <w:spacing w:after="0" w:line="161" w:lineRule="exact"/>
        <w:rPr>
          <w:rFonts w:ascii="Times New Roman" w:cs="Times New Roman" w:eastAsia="Times New Roman" w:hAnsi="Times New Roman"/>
          <w:sz w:val="18"/>
          <w:szCs w:val="18"/>
          <w:color w:val="auto"/>
        </w:rPr>
      </w:pPr>
    </w:p>
    <w:p>
      <w:pPr>
        <w:jc w:val="both"/>
        <w:ind w:left="1300" w:right="80" w:hanging="644"/>
        <w:spacing w:after="0" w:line="266" w:lineRule="auto"/>
        <w:tabs>
          <w:tab w:leader="none" w:pos="13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its discretion, impose restrictions on Dealing in respect of any Shares allocated under the EIP (including upon Vesting of Rights under rule 2.3 and/or exercise of Options under rule 3.3) and may implement any procedure it considers appropriate to enforce such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-2225040</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2" w:lineRule="exact"/>
        <w:rPr>
          <w:sz w:val="20"/>
          <w:szCs w:val="20"/>
          <w:color w:val="auto"/>
        </w:rPr>
      </w:pPr>
    </w:p>
    <w:p>
      <w:pPr>
        <w:ind w:left="660" w:hanging="652"/>
        <w:spacing w:after="0"/>
        <w:tabs>
          <w:tab w:leader="none" w:pos="660"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Preventing inappropriate benefits</w:t>
      </w:r>
    </w:p>
    <w:p>
      <w:pPr>
        <w:spacing w:after="0" w:line="256"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opinion of the Board: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w:t>
      </w:r>
    </w:p>
    <w:p>
      <w:pPr>
        <w:spacing w:after="0" w:line="22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acted fraudulently or dishonestly;</w:t>
      </w:r>
    </w:p>
    <w:p>
      <w:pPr>
        <w:spacing w:after="0" w:line="22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engaged in gross misconduct;</w:t>
      </w:r>
    </w:p>
    <w:p>
      <w:pPr>
        <w:spacing w:after="0" w:line="22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engaged in an act which has brought the Company, the Group or any Group Company into disrepute;</w:t>
      </w:r>
    </w:p>
    <w:p>
      <w:pPr>
        <w:spacing w:after="0" w:line="22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breached his or her duties or obligations to the Group;</w:t>
      </w:r>
    </w:p>
    <w:p>
      <w:pPr>
        <w:spacing w:after="0" w:line="22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convicted of an offence or has a judgment entered against them in connection with the affairs of the Group;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Financial Misstatement Circumstance; or</w:t>
      </w:r>
    </w:p>
    <w:p>
      <w:pPr>
        <w:spacing w:after="0" w:line="225" w:lineRule="exact"/>
        <w:rPr>
          <w:rFonts w:ascii="Times New Roman" w:cs="Times New Roman" w:eastAsia="Times New Roman" w:hAnsi="Times New Roman"/>
          <w:sz w:val="18"/>
          <w:szCs w:val="18"/>
          <w:color w:val="auto"/>
        </w:rPr>
      </w:pPr>
    </w:p>
    <w:p>
      <w:pPr>
        <w:ind w:left="1960" w:right="100" w:hanging="656"/>
        <w:spacing w:after="0" w:line="282" w:lineRule="auto"/>
        <w:tabs>
          <w:tab w:leader="none" w:pos="1960" w:val="left"/>
        </w:tabs>
        <w:numPr>
          <w:ilvl w:val="2"/>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Incentive Securities Vest or may Vest as a result of the fraud, dishonesty or breach of duties or obligations of any other person and, in the opinion of the Board, the Incentive Securities would not have otherwise Vested;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by or entitled under law or Company policy to reclaim remuneration from a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-2879725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Board may determine that:</w:t>
      </w:r>
    </w:p>
    <w:p>
      <w:pPr>
        <w:spacing w:after="0" w:line="225" w:lineRule="exact"/>
        <w:rPr>
          <w:sz w:val="20"/>
          <w:szCs w:val="20"/>
          <w:color w:val="auto"/>
        </w:rPr>
      </w:pPr>
    </w:p>
    <w:p>
      <w:pPr>
        <w:ind w:left="1960" w:hanging="656"/>
        <w:spacing w:after="0"/>
        <w:tabs>
          <w:tab w:leader="none" w:pos="19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following held by or on behalf of the Participant:</w:t>
      </w:r>
    </w:p>
    <w:p>
      <w:pPr>
        <w:spacing w:after="0" w:line="22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Rights or Options;</w:t>
      </w:r>
    </w:p>
    <w:p>
      <w:pPr>
        <w:spacing w:after="0" w:line="22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but unexercised Rights or Options;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1" w:name="page342"/>
    <w:bookmarkEnd w:id="341"/>
    <w:p>
      <w:pPr>
        <w:ind w:left="1960" w:right="4460" w:hanging="8"/>
        <w:spacing w:after="0" w:line="530" w:lineRule="auto"/>
        <w:tabs>
          <w:tab w:leader="none" w:pos="2554" w:val="left"/>
        </w:tabs>
        <w:numPr>
          <w:ilvl w:val="2"/>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Shares and/or Shares allocated under this EIP, will lapse or be deemed to be forfeited (as the case may be); and/or</w:t>
      </w:r>
    </w:p>
    <w:p>
      <w:pPr>
        <w:ind w:left="1960" w:hanging="656"/>
        <w:spacing w:after="0"/>
        <w:tabs>
          <w:tab w:leader="none" w:pos="196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must pay or repay (as the case may be) to the Company as a debt:</w:t>
      </w:r>
    </w:p>
    <w:p>
      <w:pPr>
        <w:spacing w:after="0" w:line="22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2"/>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part of the net proceeds of sale where Shares allocated under the EIP have been sold;</w:t>
      </w:r>
    </w:p>
    <w:p>
      <w:pPr>
        <w:spacing w:after="0" w:line="22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2"/>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payment received in lieu of an allocation of Shares pursuant to rules 2.4 or3.4; and/or</w:t>
      </w:r>
    </w:p>
    <w:p>
      <w:pPr>
        <w:spacing w:after="0" w:line="22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2"/>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received in respect of Shares allocated under the EIP.</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specify in an Offer additional circumstances in which a Participant’s entitlement to Incentive Securities may be reduced or extinguished.</w:t>
      </w:r>
    </w:p>
    <w:p>
      <w:pPr>
        <w:spacing w:after="0" w:line="158" w:lineRule="exact"/>
        <w:rPr>
          <w:sz w:val="20"/>
          <w:szCs w:val="20"/>
          <w:color w:val="auto"/>
        </w:rPr>
      </w:pPr>
    </w:p>
    <w:p>
      <w:pPr>
        <w:ind w:left="660" w:hanging="652"/>
        <w:spacing w:after="0"/>
        <w:tabs>
          <w:tab w:leader="none" w:pos="66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Forfeiture of Shares</w:t>
      </w:r>
    </w:p>
    <w:p>
      <w:pPr>
        <w:spacing w:after="0" w:line="256" w:lineRule="exact"/>
        <w:rPr>
          <w:rFonts w:ascii="Times New Roman" w:cs="Times New Roman" w:eastAsia="Times New Roman" w:hAnsi="Times New Roman"/>
          <w:sz w:val="18"/>
          <w:szCs w:val="18"/>
          <w:b w:val="1"/>
          <w:bCs w:val="1"/>
          <w:color w:val="auto"/>
        </w:rPr>
      </w:pPr>
    </w:p>
    <w:p>
      <w:pPr>
        <w:ind w:left="1300" w:right="180" w:hanging="644"/>
        <w:spacing w:after="0" w:line="261" w:lineRule="auto"/>
        <w:tabs>
          <w:tab w:leader="none" w:pos="130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Shares (including Restricted Shares) are forfeited in accordance with these Rules and the Shares are held by the Participant, the Participant is deemed to have agreed to dispose of his or her legal and/or beneficial interest (as appropriate) in such Shares for a total of $1 for all of his or her Shares and the Shares will be transferred into the name of the Company’s nominee who will then hold full legal and beneficial title to those Shares.</w:t>
      </w:r>
    </w:p>
    <w:p>
      <w:pPr>
        <w:spacing w:after="0" w:line="179"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Shares (including Restricted Shares) are forfeited in accordance with these Rules and the Shares are held by the Trustee, the Participant’s rights in the Shares will be extinguished for $1 and the Shares will be held as general trust property in accordance with the terms of the Trust Deed. The Board may, at any time in the future, direct the Trustee to hold the Shares for the benefit of a different or new Participant.</w:t>
      </w:r>
    </w:p>
    <w:p>
      <w:pPr>
        <w:spacing w:after="0" w:line="179"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Participant forfeits Shares allocated to him or her on exercise of Rights or Options pursuant to these Rules, the Company may, but need not, repay to the Participant any Exercise Price paid by the Participant in respect of the forfeited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-1822450</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8" w:lineRule="exact"/>
        <w:rPr>
          <w:sz w:val="20"/>
          <w:szCs w:val="20"/>
          <w:color w:val="auto"/>
        </w:rPr>
      </w:pPr>
    </w:p>
    <w:p>
      <w:pPr>
        <w:ind w:left="660" w:hanging="652"/>
        <w:spacing w:after="0"/>
        <w:tabs>
          <w:tab w:leader="none" w:pos="660"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Cessation of employment or engagement</w:t>
      </w:r>
    </w:p>
    <w:p>
      <w:pPr>
        <w:spacing w:after="0" w:line="256"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in its discretion, may determine that some or all of a Participant’s unvested Incentive Securities, as applicable: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lapse;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forfeited;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(immediately or subject to conditions);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exercisable for a prescribed period and will otherwise lapse; and/or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 longer subject to some of the restrictions (including any Vesting Condition) that previously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a result of the Participant ceasing to be employed by or engaged by the Group.</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2" w:name="page343"/>
    <w:bookmarkEnd w:id="342"/>
    <w:p>
      <w:pPr>
        <w:ind w:left="1300" w:right="20" w:hanging="644"/>
        <w:spacing w:after="0" w:line="261" w:lineRule="auto"/>
        <w:tabs>
          <w:tab w:leader="none" w:pos="13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specify in the Offer to the Participant (in accordance with rule 1.2) how the Participant’s Incentive Securities will be treated on cessation of their employment or engagement. The applicable treatment may vary depending on the circumstances in which the Participant’s employment or engagement ceases. In specifying a cessation treatment to apply to an Offer, the Board may preserve some or all of its discretion under rule 8(a).</w:t>
      </w:r>
    </w:p>
    <w:p>
      <w:pPr>
        <w:spacing w:after="0" w:line="176" w:lineRule="exact"/>
        <w:rPr>
          <w:sz w:val="20"/>
          <w:szCs w:val="20"/>
          <w:color w:val="auto"/>
        </w:rPr>
      </w:pPr>
    </w:p>
    <w:p>
      <w:pPr>
        <w:ind w:left="660" w:hanging="652"/>
        <w:spacing w:after="0"/>
        <w:tabs>
          <w:tab w:leader="none" w:pos="660" w:val="left"/>
        </w:tabs>
        <w:numPr>
          <w:ilvl w:val="0"/>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Change of Control Events</w:t>
      </w:r>
    </w:p>
    <w:p>
      <w:pPr>
        <w:spacing w:after="0" w:line="229" w:lineRule="exact"/>
        <w:rPr>
          <w:sz w:val="20"/>
          <w:szCs w:val="20"/>
          <w:color w:val="auto"/>
        </w:rPr>
      </w:pPr>
    </w:p>
    <w:p>
      <w:pPr>
        <w:ind w:left="1300" w:hanging="644"/>
        <w:spacing w:after="0"/>
        <w:tabs>
          <w:tab w:leader="none" w:pos="13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rule 9.1(b), where there is: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Takeover Bid for Shares;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transaction, event or state of affairs,</w:t>
      </w:r>
    </w:p>
    <w:p>
      <w:pPr>
        <w:spacing w:after="0" w:line="225" w:lineRule="exact"/>
        <w:rPr>
          <w:sz w:val="20"/>
          <w:szCs w:val="20"/>
          <w:color w:val="auto"/>
        </w:rPr>
      </w:pPr>
    </w:p>
    <w:p>
      <w:pPr>
        <w:ind w:left="1300" w:right="320"/>
        <w:spacing w:after="0" w:line="266" w:lineRule="auto"/>
        <w:rPr>
          <w:sz w:val="20"/>
          <w:szCs w:val="20"/>
          <w:color w:val="auto"/>
        </w:rPr>
      </w:pPr>
      <w:r>
        <w:rPr>
          <w:rFonts w:ascii="Times New Roman" w:cs="Times New Roman" w:eastAsia="Times New Roman" w:hAnsi="Times New Roman"/>
          <w:sz w:val="18"/>
          <w:szCs w:val="18"/>
          <w:color w:val="auto"/>
        </w:rPr>
        <w:t>that, in the Board’s opinion, is likely to result in a change in the Control of the Company or should otherwise be treated in accordance with this rule (</w:t>
      </w:r>
      <w:r>
        <w:rPr>
          <w:rFonts w:ascii="Times New Roman" w:cs="Times New Roman" w:eastAsia="Times New Roman" w:hAnsi="Times New Roman"/>
          <w:sz w:val="18"/>
          <w:szCs w:val="18"/>
          <w:b w:val="1"/>
          <w:bCs w:val="1"/>
          <w:color w:val="auto"/>
        </w:rPr>
        <w:t>Change of Control Event</w:t>
      </w:r>
      <w:r>
        <w:rPr>
          <w:rFonts w:ascii="Times New Roman" w:cs="Times New Roman" w:eastAsia="Times New Roman" w:hAnsi="Times New Roman"/>
          <w:sz w:val="18"/>
          <w:szCs w:val="18"/>
          <w:color w:val="auto"/>
        </w:rPr>
        <w:t>), the Board may, in its absolute discretion, determine that all or a specified number of a Participant’s Incentive Securities Vest or cease to be subject to restrictions (as applicable). For the avoidance of doubt:</w:t>
      </w:r>
    </w:p>
    <w:p>
      <w:pPr>
        <w:spacing w:after="0" w:line="176" w:lineRule="exact"/>
        <w:rPr>
          <w:sz w:val="20"/>
          <w:szCs w:val="20"/>
          <w:color w:val="auto"/>
        </w:rPr>
      </w:pPr>
    </w:p>
    <w:p>
      <w:pPr>
        <w:ind w:left="1960" w:right="200" w:hanging="656"/>
        <w:spacing w:after="0" w:line="282" w:lineRule="auto"/>
        <w:tabs>
          <w:tab w:leader="none" w:pos="196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Event does not include a listing of the Company or a Group Company or an internal reorganisation of the structure, business and/or assets of the Group; and</w:t>
      </w:r>
    </w:p>
    <w:p>
      <w:pPr>
        <w:spacing w:after="0" w:line="161" w:lineRule="exact"/>
        <w:rPr>
          <w:rFonts w:ascii="Times New Roman" w:cs="Times New Roman" w:eastAsia="Times New Roman" w:hAnsi="Times New Roman"/>
          <w:sz w:val="18"/>
          <w:szCs w:val="18"/>
          <w:color w:val="auto"/>
        </w:rPr>
      </w:pPr>
    </w:p>
    <w:p>
      <w:pPr>
        <w:ind w:left="1960" w:right="40" w:hanging="656"/>
        <w:spacing w:after="0" w:line="282" w:lineRule="auto"/>
        <w:tabs>
          <w:tab w:leader="none" w:pos="196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rule 9.1(b), if the Board does not make a determination pursuant to this rule 9.1(a), then all of a Participant’s Incentive Securities will remain on foot subject to the original terms of grant.</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rule 9.1(a), where there is an actual change in the Control of the Company (other than pursuant to a listing of the Company or a Group Company) then, unless the Board determines otherwise, all unvested Incentive Securities will immediately Vest or cease to be subject to restrictions (as applicable) on a pro rata basis based on the portion of the Vesting Period that has elapsed.</w:t>
      </w:r>
    </w:p>
    <w:p>
      <w:pPr>
        <w:spacing w:after="0" w:line="175"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3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some of a Participant’s unvested Incentive Securities will Vest under rule 9.1(a) or 9.1(b), all Incentive Securities that remain unvested will lapse, unless the Board determines a different treatment.</w:t>
      </w:r>
    </w:p>
    <w:p>
      <w:pPr>
        <w:spacing w:after="0" w:line="161" w:lineRule="exact"/>
        <w:rPr>
          <w:rFonts w:ascii="Times New Roman" w:cs="Times New Roman" w:eastAsia="Times New Roman" w:hAnsi="Times New Roman"/>
          <w:sz w:val="18"/>
          <w:szCs w:val="18"/>
          <w:color w:val="auto"/>
        </w:rPr>
      </w:pPr>
    </w:p>
    <w:p>
      <w:pPr>
        <w:ind w:left="1300" w:right="120" w:hanging="644"/>
        <w:spacing w:after="0" w:line="261" w:lineRule="auto"/>
        <w:tabs>
          <w:tab w:leader="none" w:pos="13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default treatment set out in these Rules, the Board may specify in the Offer to the Participant (in accordance with rule 1.2 ) a particular treatment that will apply to unvested Incentive Securities in the context of a Change of Control Event. In determining a different change in Control treatment to apply to an Offer, the Board may preserve some or all of its discretions under this rule 9.</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Notification of Vesting</w:t>
      </w:r>
    </w:p>
    <w:p>
      <w:pPr>
        <w:spacing w:after="0" w:line="229"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Where some or all of a Participant’s Incentive Securities Vest pursuant to rule 9. 1 , the Board will, as soon as reasonably practicable, give written notice to each Participant of the number of Incentive Securities that have Vested.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Treatment of Vested Incentive Securities</w:t>
      </w:r>
    </w:p>
    <w:p>
      <w:pPr>
        <w:spacing w:after="0" w:line="229" w:lineRule="exact"/>
        <w:rPr>
          <w:sz w:val="20"/>
          <w:szCs w:val="20"/>
          <w:color w:val="auto"/>
        </w:rPr>
      </w:pPr>
    </w:p>
    <w:p>
      <w:pPr>
        <w:ind w:left="1300" w:right="240" w:hanging="644"/>
        <w:spacing w:after="0" w:line="282" w:lineRule="auto"/>
        <w:tabs>
          <w:tab w:leader="none" w:pos="13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the discretion to determine the treatment of all Vested Incentive Securities (including those that Vest in accordance with rule 9.1) where a Change of Control Event occurs.</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3" w:name="page344"/>
    <w:bookmarkEnd w:id="343"/>
    <w:p>
      <w:pPr>
        <w:ind w:left="1300" w:hanging="644"/>
        <w:spacing w:after="0"/>
        <w:tabs>
          <w:tab w:leader="none" w:pos="13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rule 9.3(a), where there is an actual change in the Control of the Company then, unless the Board determines otherwise:</w:t>
      </w:r>
    </w:p>
    <w:p>
      <w:pPr>
        <w:spacing w:after="0" w:line="225"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Vested Options will be exercisable for a period specified by the Board from the actual change in the Control of the Company and will lapse if not exercised within the specified period;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Dealing imposed by the Board on Vested Incentive Securities will cease to have effect.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7"/>
          <w:szCs w:val="17"/>
          <w:b w:val="1"/>
          <w:bCs w:val="1"/>
          <w:color w:val="auto"/>
        </w:rPr>
        <w:t>Acquisition of shares in Acquiring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w:t>
      </w:r>
    </w:p>
    <w:p>
      <w:pPr>
        <w:spacing w:after="0" w:line="221" w:lineRule="exact"/>
        <w:rPr>
          <w:sz w:val="20"/>
          <w:szCs w:val="20"/>
          <w:color w:val="auto"/>
        </w:rPr>
      </w:pPr>
    </w:p>
    <w:p>
      <w:pPr>
        <w:ind w:left="1300" w:hanging="644"/>
        <w:spacing w:after="0"/>
        <w:tabs>
          <w:tab w:leader="none" w:pos="13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t>
      </w:r>
      <w:r>
        <w:rPr>
          <w:rFonts w:ascii="Times New Roman" w:cs="Times New Roman" w:eastAsia="Times New Roman" w:hAnsi="Times New Roman"/>
          <w:sz w:val="18"/>
          <w:szCs w:val="18"/>
          <w:b w:val="1"/>
          <w:bCs w:val="1"/>
          <w:color w:val="auto"/>
        </w:rPr>
        <w:t>Acquiring Company</w:t>
      </w:r>
      <w:r>
        <w:rPr>
          <w:rFonts w:ascii="Times New Roman" w:cs="Times New Roman" w:eastAsia="Times New Roman" w:hAnsi="Times New Roman"/>
          <w:sz w:val="18"/>
          <w:szCs w:val="18"/>
          <w:color w:val="auto"/>
        </w:rPr>
        <w:t>) obtains Control of the Company as a result of a Change of Control Event; and</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Acquiring Company and the Participant agree,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applicable laws (including taxation laws, the Corporations Act and any relevant Listing Rules) a Participant may, upon:</w:t>
      </w:r>
    </w:p>
    <w:p>
      <w:pPr>
        <w:spacing w:after="0" w:line="225" w:lineRule="exact"/>
        <w:rPr>
          <w:sz w:val="20"/>
          <w:szCs w:val="20"/>
          <w:color w:val="auto"/>
        </w:rPr>
      </w:pPr>
    </w:p>
    <w:p>
      <w:pPr>
        <w:ind w:left="1300" w:hanging="644"/>
        <w:spacing w:after="0"/>
        <w:tabs>
          <w:tab w:leader="none" w:pos="130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Rights;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Options,</w:t>
      </w:r>
    </w:p>
    <w:p>
      <w:pPr>
        <w:spacing w:after="0" w:line="225" w:lineRule="exact"/>
        <w:rPr>
          <w:sz w:val="20"/>
          <w:szCs w:val="20"/>
          <w:color w:val="auto"/>
        </w:rPr>
      </w:pPr>
    </w:p>
    <w:p>
      <w:pPr>
        <w:ind w:left="660" w:right="480"/>
        <w:spacing w:after="0" w:line="266" w:lineRule="auto"/>
        <w:rPr>
          <w:sz w:val="20"/>
          <w:szCs w:val="20"/>
          <w:color w:val="auto"/>
        </w:rPr>
      </w:pPr>
      <w:r>
        <w:rPr>
          <w:rFonts w:ascii="Times New Roman" w:cs="Times New Roman" w:eastAsia="Times New Roman" w:hAnsi="Times New Roman"/>
          <w:sz w:val="18"/>
          <w:szCs w:val="18"/>
          <w:color w:val="auto"/>
        </w:rPr>
        <w:t>be provided with shares of the Acquiring Company or its parent in lieu of Shares in such manner as the parties may agree (including by a replacement security or exchange of Shares issued on Vesting or exercise) and on substantially the same terms and on substantially the same conditions but with any necessary or appropriate adjustments to the number and kind of shares.</w:t>
      </w:r>
    </w:p>
    <w:p>
      <w:pPr>
        <w:spacing w:after="0" w:line="172" w:lineRule="exact"/>
        <w:rPr>
          <w:sz w:val="20"/>
          <w:szCs w:val="20"/>
          <w:color w:val="auto"/>
        </w:rPr>
      </w:pPr>
    </w:p>
    <w:p>
      <w:pPr>
        <w:ind w:left="660" w:hanging="652"/>
        <w:spacing w:after="0"/>
        <w:tabs>
          <w:tab w:leader="none" w:pos="660"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adjust Rights and/or Options and the Exercise Price</w:t>
      </w:r>
    </w:p>
    <w:p>
      <w:pPr>
        <w:spacing w:after="0" w:line="256" w:lineRule="exact"/>
        <w:rPr>
          <w:rFonts w:ascii="Times New Roman" w:cs="Times New Roman" w:eastAsia="Times New Roman" w:hAnsi="Times New Roman"/>
          <w:sz w:val="18"/>
          <w:szCs w:val="18"/>
          <w:b w:val="1"/>
          <w:bCs w:val="1"/>
          <w:color w:val="auto"/>
        </w:rPr>
      </w:pPr>
    </w:p>
    <w:p>
      <w:pPr>
        <w:ind w:left="1300" w:right="520" w:hanging="644"/>
        <w:spacing w:after="0" w:line="282" w:lineRule="auto"/>
        <w:tabs>
          <w:tab w:leader="none" w:pos="13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and Options carry no entitlement to participate in new issues of Shares by the Company prior to the Vesting and exercise (if applicable) of the Right or Option.</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58" w:lineRule="auto"/>
        <w:tabs>
          <w:tab w:leader="none" w:pos="13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rule 10(b), prior to the allocation of Shares to a Participant upon Vesting and exercise of Rights or exercise of Options, the Board may grant additional Rights or Options or make any adjustments it considers appropriate to the terms of a Right and/or Option granted to that Participant in order to minimise or eliminate any material advantage or disadvantage to a Participant resulting from a corporate action by, or capital reconstruction in relation to, the Company, including but not limited to any return of capital. Adjustments that may be made include adjustments to:</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Rights or Options to which the Participant is entitled;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which the Participant is entitled upon Vesting and exercise of Rights or exercise of Options;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payable on Vesting and exercise of Rights or exercise of Options (including the Exercise Price);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Share Appreciation Rights, the Notional Exercise Price;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appropriate, a combination of paragraphs (i), (ii), (iii) and/or (iv) above.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rule 10(a),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-2879725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4" w:name="page345"/>
    <w:bookmarkEnd w:id="344"/>
    <w:p>
      <w:pPr>
        <w:ind w:left="1960" w:right="20" w:hanging="656"/>
        <w:spacing w:after="0" w:line="282" w:lineRule="auto"/>
        <w:tabs>
          <w:tab w:leader="none" w:pos="196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issued pro rata to the Company’s shareholders generally by way of a rights issue, Options and Rights may be adjusted in accordance with ASX Listing Rule 6.22.2 (or any replacement rule); or</w:t>
      </w:r>
    </w:p>
    <w:p>
      <w:pPr>
        <w:spacing w:after="0" w:line="161" w:lineRule="exact"/>
        <w:rPr>
          <w:rFonts w:ascii="Times New Roman" w:cs="Times New Roman" w:eastAsia="Times New Roman" w:hAnsi="Times New Roman"/>
          <w:sz w:val="18"/>
          <w:szCs w:val="18"/>
          <w:color w:val="auto"/>
        </w:rPr>
      </w:pPr>
    </w:p>
    <w:p>
      <w:pPr>
        <w:ind w:left="1960" w:right="100" w:hanging="656"/>
        <w:spacing w:after="0" w:line="266" w:lineRule="auto"/>
        <w:tabs>
          <w:tab w:leader="none" w:pos="196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issued pro rata to the Company’s shareholders generally by way of a bonus issue (other than an issue in lieu of dividends or by way of a dividend reinvestment) involving capitalisation of reserves of distributable profits, Options and Rights will be adjusted in the manner required by the Listing Rules; or</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reorganisation (including consolidation, subdivision, reduction or return) of the issued capital of the Company is effected, Options and Rights will be adjusted in the manner required by the Listing Rules.</w:t>
      </w:r>
    </w:p>
    <w:p>
      <w:pPr>
        <w:spacing w:after="0" w:line="161" w:lineRule="exact"/>
        <w:rPr>
          <w:rFonts w:ascii="Times New Roman" w:cs="Times New Roman" w:eastAsia="Times New Roman" w:hAnsi="Times New Roman"/>
          <w:sz w:val="18"/>
          <w:szCs w:val="18"/>
          <w:color w:val="auto"/>
        </w:rPr>
      </w:pPr>
    </w:p>
    <w:p>
      <w:pPr>
        <w:jc w:val="both"/>
        <w:ind w:left="1300" w:right="200" w:hanging="644"/>
        <w:spacing w:after="0" w:line="266" w:lineRule="auto"/>
        <w:tabs>
          <w:tab w:leader="none" w:pos="13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additional Rights or Options are granted to the Participant under this rule 10, such Rights or Options will be subject to the same terms and conditions as the original Rights or Options granted to the Participant (including without limitation, any Vesting Conditions), unless the Board determines otherwise.</w:t>
      </w:r>
    </w:p>
    <w:p>
      <w:pPr>
        <w:spacing w:after="0" w:line="17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must, as soon as reasonably practicable after making any additional grants or adjustments under this rule 10 , give notice in writing to any affected Participant.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Dividends and other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b w:val="1"/>
          <w:bCs w:val="1"/>
          <w:color w:val="auto"/>
        </w:rPr>
        <w:t>Dividends and other rights associated with Shares</w:t>
      </w:r>
    </w:p>
    <w:p>
      <w:pPr>
        <w:spacing w:after="0" w:line="229" w:lineRule="exact"/>
        <w:rPr>
          <w:sz w:val="20"/>
          <w:szCs w:val="20"/>
          <w:color w:val="auto"/>
        </w:rPr>
      </w:pPr>
    </w:p>
    <w:p>
      <w:pPr>
        <w:ind w:left="1300" w:right="40" w:hanging="644"/>
        <w:spacing w:after="0" w:line="282" w:lineRule="auto"/>
        <w:tabs>
          <w:tab w:leader="none" w:pos="130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any Trust Deed (if applicable) or Offer, the following rules apply in respect of Shares allocated to, or on behalf of, a Participant under this EIP (including Restricted Shares allocated under rule 4.1):</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entitled to receive all dividends and other distributions or benefits payable to the Participant or to the Trustee in respect of the Shares;</w:t>
      </w:r>
    </w:p>
    <w:p>
      <w:pPr>
        <w:spacing w:after="0" w:line="161" w:lineRule="exact"/>
        <w:rPr>
          <w:rFonts w:ascii="Times New Roman" w:cs="Times New Roman" w:eastAsia="Times New Roman" w:hAnsi="Times New Roman"/>
          <w:sz w:val="18"/>
          <w:szCs w:val="18"/>
          <w:color w:val="auto"/>
        </w:rPr>
      </w:pPr>
    </w:p>
    <w:p>
      <w:pPr>
        <w:ind w:left="1960" w:right="40" w:hanging="656"/>
        <w:spacing w:after="0" w:line="282" w:lineRule="auto"/>
        <w:tabs>
          <w:tab w:leader="none" w:pos="196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entitled to exercise, or to direct the Trustee in writing how to exercise, the voting rights attaching to the Shares, either generally or in a particular case;</w:t>
      </w:r>
    </w:p>
    <w:p>
      <w:pPr>
        <w:spacing w:after="0" w:line="161" w:lineRule="exact"/>
        <w:rPr>
          <w:rFonts w:ascii="Times New Roman" w:cs="Times New Roman" w:eastAsia="Times New Roman" w:hAnsi="Times New Roman"/>
          <w:sz w:val="18"/>
          <w:szCs w:val="18"/>
          <w:color w:val="auto"/>
        </w:rPr>
      </w:pPr>
    </w:p>
    <w:p>
      <w:pPr>
        <w:ind w:left="1960" w:right="100" w:hanging="656"/>
        <w:spacing w:after="0" w:line="266" w:lineRule="auto"/>
        <w:tabs>
          <w:tab w:leader="none" w:pos="196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bonus shares that are issued in respect of the Shares will be issued to the Participant, or to the Trustee on the Participant’s behalf, and will be held by the Participant or Trustee as Shares subject to the same terms, conditions and restrictions on Dealing (if any) as the Shares in respect of which they were issued; and</w:t>
      </w:r>
    </w:p>
    <w:p>
      <w:pPr>
        <w:spacing w:after="0" w:line="175" w:lineRule="exact"/>
        <w:rPr>
          <w:rFonts w:ascii="Times New Roman" w:cs="Times New Roman" w:eastAsia="Times New Roman" w:hAnsi="Times New Roman"/>
          <w:sz w:val="18"/>
          <w:szCs w:val="18"/>
          <w:color w:val="auto"/>
        </w:rPr>
      </w:pPr>
    </w:p>
    <w:p>
      <w:pPr>
        <w:ind w:left="1960" w:right="160" w:hanging="656"/>
        <w:spacing w:after="0" w:line="261" w:lineRule="auto"/>
        <w:tabs>
          <w:tab w:leader="none" w:pos="196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rights arise on a rights issue in respect of the Shares, the Participant may Deal with or exercise those rights, or instruct the Trustee (if applicable) in relation to those rights in accordance with the Trust Deed. If the Shares are held by the Trustee on the Participant’s behalf and the Participant does not instruct the Trustee how to Deal with the rights, the rights will be Dealt with inaccordance with the Trust Deed.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b w:val="1"/>
          <w:bCs w:val="1"/>
          <w:color w:val="auto"/>
        </w:rPr>
        <w:t>Dividend equivalent payments and other rights associated with Rights and Options</w:t>
      </w:r>
    </w:p>
    <w:p>
      <w:pPr>
        <w:spacing w:after="0" w:line="229" w:lineRule="exact"/>
        <w:rPr>
          <w:sz w:val="20"/>
          <w:szCs w:val="20"/>
          <w:color w:val="auto"/>
        </w:rPr>
      </w:pPr>
    </w:p>
    <w:p>
      <w:pPr>
        <w:ind w:left="1300" w:right="680" w:hanging="644"/>
        <w:spacing w:after="0" w:line="282" w:lineRule="auto"/>
        <w:tabs>
          <w:tab w:leader="none" w:pos="13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or until Shares are allocated to a Participant following Vesting and exercise of their Rights or Options (as applicable), the Participant has no interest in those Shares in respect of which the Right or Option was granted.</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5" w:name="page346"/>
    <w:bookmarkEnd w:id="345"/>
    <w:p>
      <w:pPr>
        <w:ind w:left="1300" w:right="120" w:hanging="644"/>
        <w:spacing w:after="0" w:line="266" w:lineRule="auto"/>
        <w:tabs>
          <w:tab w:leader="none" w:pos="13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rule 11.2(a), the Board may determine at the time an Offer is made that a dividend equivalent payment will be paid to a Participant who becomes entitled to an allocation of Shares (or equivalent cash amount) following the Vesting or exercise of Rights or Options granted to that Participant (as applicable) under that Offer.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any Offer, a dividend equivalent payment:</w:t>
      </w:r>
    </w:p>
    <w:p>
      <w:pPr>
        <w:spacing w:after="0" w:line="225" w:lineRule="exact"/>
        <w:rPr>
          <w:rFonts w:ascii="Times New Roman" w:cs="Times New Roman" w:eastAsia="Times New Roman" w:hAnsi="Times New Roman"/>
          <w:sz w:val="18"/>
          <w:szCs w:val="18"/>
          <w:color w:val="auto"/>
        </w:rPr>
      </w:pPr>
    </w:p>
    <w:p>
      <w:pPr>
        <w:ind w:left="1960" w:right="40" w:hanging="656"/>
        <w:spacing w:after="0" w:line="282" w:lineRule="auto"/>
        <w:tabs>
          <w:tab w:leader="none" w:pos="196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approximately equal to the amount of dividends that would have been payable to the Participant had they been the owner of the Shares referred to in rule 11.2(b) during the Vesting Period;</w:t>
      </w:r>
    </w:p>
    <w:p>
      <w:pPr>
        <w:spacing w:after="0" w:line="161" w:lineRule="exact"/>
        <w:rPr>
          <w:rFonts w:ascii="Times New Roman" w:cs="Times New Roman" w:eastAsia="Times New Roman" w:hAnsi="Times New Roman"/>
          <w:sz w:val="18"/>
          <w:szCs w:val="18"/>
          <w:color w:val="auto"/>
        </w:rPr>
      </w:pPr>
    </w:p>
    <w:p>
      <w:pPr>
        <w:ind w:left="1960" w:right="280" w:hanging="656"/>
        <w:spacing w:after="0" w:line="282" w:lineRule="auto"/>
        <w:tabs>
          <w:tab w:leader="none" w:pos="196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grossed up or otherwise adjusted to account for any tax consequences which would have applied if the Participant had actually been paid a dividend;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satisfied through the allocation of Shares or payment of cash.</w:t>
      </w:r>
    </w:p>
    <w:p>
      <w:pPr>
        <w:spacing w:after="0" w:line="221" w:lineRule="exact"/>
        <w:rPr>
          <w:sz w:val="20"/>
          <w:szCs w:val="20"/>
          <w:color w:val="auto"/>
        </w:rPr>
      </w:pPr>
    </w:p>
    <w:p>
      <w:pPr>
        <w:ind w:left="660" w:hanging="652"/>
        <w:spacing w:after="0"/>
        <w:tabs>
          <w:tab w:leader="none" w:pos="660" w:val="left"/>
        </w:tabs>
        <w:numPr>
          <w:ilvl w:val="0"/>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w:t>
      </w:r>
    </w:p>
    <w:p>
      <w:pPr>
        <w:spacing w:after="0" w:line="256" w:lineRule="exact"/>
        <w:rPr>
          <w:rFonts w:ascii="Times New Roman" w:cs="Times New Roman" w:eastAsia="Times New Roman" w:hAnsi="Times New Roman"/>
          <w:sz w:val="18"/>
          <w:szCs w:val="18"/>
          <w:b w:val="1"/>
          <w:bCs w:val="1"/>
          <w:color w:val="auto"/>
        </w:rPr>
      </w:pPr>
    </w:p>
    <w:p>
      <w:pPr>
        <w:ind w:left="1300" w:right="180" w:hanging="644"/>
        <w:spacing w:after="0" w:line="282" w:lineRule="auto"/>
        <w:tabs>
          <w:tab w:leader="none" w:pos="130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Group Company, the Trustee or a Plan administrator is obliged, or reasonably believes it may have an obligation, as a result of or in connection with any grant of Incentive Securities, allocation of Shares or payment of a cash amount under this EIP, to account for: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or employment taxes under any wage, withholding or other arrangements;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tax, social security contributions or levy or charge of a similar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00" w:right="280"/>
        <w:spacing w:after="0" w:line="282" w:lineRule="auto"/>
        <w:rPr>
          <w:sz w:val="20"/>
          <w:szCs w:val="20"/>
          <w:color w:val="auto"/>
        </w:rPr>
      </w:pPr>
      <w:r>
        <w:rPr>
          <w:rFonts w:ascii="Times New Roman" w:cs="Times New Roman" w:eastAsia="Times New Roman" w:hAnsi="Times New Roman"/>
          <w:sz w:val="18"/>
          <w:szCs w:val="18"/>
          <w:color w:val="auto"/>
        </w:rPr>
        <w:t>that is a liability of the Participant, then the relevant Group Company, Trustee or Plan administrator is entitled to be reimbursed by the Participant for the amount or amounts so paid or payable.</w:t>
      </w:r>
    </w:p>
    <w:p>
      <w:pPr>
        <w:spacing w:after="0" w:line="162" w:lineRule="exact"/>
        <w:rPr>
          <w:sz w:val="20"/>
          <w:szCs w:val="20"/>
          <w:color w:val="auto"/>
        </w:rPr>
      </w:pPr>
    </w:p>
    <w:p>
      <w:pPr>
        <w:ind w:left="1300" w:right="160" w:hanging="644"/>
        <w:spacing w:after="0" w:line="261" w:lineRule="auto"/>
        <w:tabs>
          <w:tab w:leader="none" w:pos="13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rule 12(a) applies, the relevant Group Company, the Trustee or the Plan administrator is not obliged to grant any Incentive Securities, to allocate Shares or to make a cash payment in accordance with rules 2.2(e) or 3.2(e) unless the Company is satisfied that arrangements for payment or reimbursement of the amounts referred to in rule 12(a) have been made. Those arrangements may include, without limitation:</w:t>
      </w:r>
    </w:p>
    <w:p>
      <w:pPr>
        <w:spacing w:after="0" w:line="179" w:lineRule="exact"/>
        <w:rPr>
          <w:rFonts w:ascii="Times New Roman" w:cs="Times New Roman" w:eastAsia="Times New Roman" w:hAnsi="Times New Roman"/>
          <w:sz w:val="18"/>
          <w:szCs w:val="18"/>
          <w:color w:val="auto"/>
        </w:rPr>
      </w:pPr>
    </w:p>
    <w:p>
      <w:pPr>
        <w:ind w:left="1960" w:right="500" w:hanging="656"/>
        <w:spacing w:after="0" w:line="282" w:lineRule="auto"/>
        <w:tabs>
          <w:tab w:leader="none" w:pos="196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by the Participant of sufficient funds to reimburse the Group Company, Trustee or Plan administrator for the amount (by salary deduction, reduction of any amount owed by the Group to the Participant or otherwise);</w:t>
      </w:r>
    </w:p>
    <w:p>
      <w:pPr>
        <w:spacing w:after="0" w:line="161" w:lineRule="exact"/>
        <w:rPr>
          <w:rFonts w:ascii="Times New Roman" w:cs="Times New Roman" w:eastAsia="Times New Roman" w:hAnsi="Times New Roman"/>
          <w:sz w:val="18"/>
          <w:szCs w:val="18"/>
          <w:color w:val="auto"/>
        </w:rPr>
      </w:pPr>
    </w:p>
    <w:p>
      <w:pPr>
        <w:ind w:left="1960" w:right="60" w:hanging="656"/>
        <w:spacing w:after="0" w:line="282" w:lineRule="auto"/>
        <w:tabs>
          <w:tab w:leader="none" w:pos="196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on behalf of the Participant of Shares allocated pursuant to these Rules for payment or reimbursement of these amounts, as well as the costs of any such sale;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any amount payable to the Participant in lieu of an allocation of Shares under these Rules;</w:t>
      </w:r>
    </w:p>
    <w:p>
      <w:pPr>
        <w:spacing w:after="0" w:line="225" w:lineRule="exact"/>
        <w:rPr>
          <w:rFonts w:ascii="Times New Roman" w:cs="Times New Roman" w:eastAsia="Times New Roman" w:hAnsi="Times New Roman"/>
          <w:sz w:val="18"/>
          <w:szCs w:val="18"/>
          <w:color w:val="auto"/>
        </w:rPr>
      </w:pPr>
    </w:p>
    <w:p>
      <w:pPr>
        <w:ind w:left="1960" w:right="60" w:hanging="656"/>
        <w:spacing w:after="0" w:line="282" w:lineRule="auto"/>
        <w:tabs>
          <w:tab w:leader="none" w:pos="196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forgoing their entitlement to an equivalent number of Shares that would otherwise be allocated to the Participant; or</w:t>
      </w:r>
    </w:p>
    <w:p>
      <w:pPr>
        <w:spacing w:after="0" w:line="161" w:lineRule="exact"/>
        <w:rPr>
          <w:rFonts w:ascii="Times New Roman" w:cs="Times New Roman" w:eastAsia="Times New Roman" w:hAnsi="Times New Roman"/>
          <w:sz w:val="18"/>
          <w:szCs w:val="18"/>
          <w:color w:val="auto"/>
        </w:rPr>
      </w:pPr>
    </w:p>
    <w:p>
      <w:pPr>
        <w:ind w:left="1960" w:hanging="656"/>
        <w:spacing w:after="0" w:line="261" w:lineRule="auto"/>
        <w:tabs>
          <w:tab w:leader="none" w:pos="196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lapse or forfeiture of a sufficient number of Rights, Options and/or Shares to satisfy the debt the Participant owes to the Group Company, Trustee or Plan administrator. Unless the Group Company, Trustee or Plan administrator (as applicable) and the Participant agree to use a different valuation, any Rights, Options and/or Shares lapsed or forfeited (as applicable) under this rule will be valued at the Current Market Price on the date of lapse or forfeiture.</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6" w:name="page347"/>
    <w:bookmarkEnd w:id="346"/>
    <w:p>
      <w:pPr>
        <w:ind w:left="1300" w:right="720" w:hanging="644"/>
        <w:spacing w:after="0" w:line="282" w:lineRule="auto"/>
        <w:tabs>
          <w:tab w:leader="none" w:pos="13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which are paid or payable for the purposes of these Rules are inclusive of the Group’s compulsory superannuation contribution (if applicable).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7"/>
          <w:szCs w:val="17"/>
          <w:b w:val="1"/>
          <w:bCs w:val="1"/>
          <w:color w:val="auto"/>
        </w:rPr>
        <w:t>Power to make amendments</w:t>
      </w:r>
    </w:p>
    <w:p>
      <w:pPr>
        <w:spacing w:after="0" w:line="229" w:lineRule="exact"/>
        <w:rPr>
          <w:sz w:val="20"/>
          <w:szCs w:val="20"/>
          <w:color w:val="auto"/>
        </w:rPr>
      </w:pPr>
    </w:p>
    <w:p>
      <w:pPr>
        <w:ind w:left="1300" w:hanging="644"/>
        <w:spacing w:after="0"/>
        <w:tabs>
          <w:tab w:leader="none" w:pos="130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rule 13.2, the Board may at any time by resolution: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add to (amend) all or any of the provisions of the EIP;</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terms or conditions of any Incentive Security granted under the EIP;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terminate the operation of the EIP.</w:t>
      </w:r>
    </w:p>
    <w:p>
      <w:pPr>
        <w:spacing w:after="0" w:line="225" w:lineRule="exact"/>
        <w:rPr>
          <w:rFonts w:ascii="Times New Roman" w:cs="Times New Roman" w:eastAsia="Times New Roman" w:hAnsi="Times New Roman"/>
          <w:sz w:val="18"/>
          <w:szCs w:val="18"/>
          <w:color w:val="auto"/>
        </w:rPr>
      </w:pPr>
    </w:p>
    <w:p>
      <w:pPr>
        <w:ind w:left="1300" w:right="80" w:hanging="644"/>
        <w:spacing w:after="0" w:line="277" w:lineRule="auto"/>
        <w:tabs>
          <w:tab w:leader="none" w:pos="130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rule 13.2, the Board may waive, amend or replace any Vesting Condition attaching to an Incentive Security if the Board determines that the original Vesting Condition is no longer appropriate or applicable (including, without limitation, where a Vesting Condition refers to a particular stock market index that is no longer published or there is a corporate action by the Company, including a discounted rights issue, which impacts on the Vesting Condition), provided that the interests of the relevant Participant are not, in the opinion of the Board, materially prejudiced or advantaged relative to the position reasonably anticipated at the time of the grant.</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7"/>
          <w:szCs w:val="17"/>
          <w:b w:val="1"/>
          <w:bCs w:val="1"/>
          <w:color w:val="auto"/>
        </w:rPr>
        <w:t>Restrictions on amendments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the consent of the Participant, the Board may not exercise its powers under rule 1 3.1(a) in a manner which reduces the rights of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Participant in respect of any Incentive Security or Share already granted other than an amendment introduced primarily:</w:t>
      </w:r>
    </w:p>
    <w:p>
      <w:pPr>
        <w:spacing w:after="0" w:line="207" w:lineRule="exact"/>
        <w:rPr>
          <w:sz w:val="20"/>
          <w:szCs w:val="20"/>
          <w:color w:val="auto"/>
        </w:rPr>
      </w:pPr>
    </w:p>
    <w:p>
      <w:pPr>
        <w:ind w:left="1300" w:right="260" w:hanging="644"/>
        <w:spacing w:after="0" w:line="282" w:lineRule="auto"/>
        <w:tabs>
          <w:tab w:leader="none" w:pos="13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complying with or conforming to present or future laws governing or regulating the maintenance or operation of the ElP or similar plans, in any jurisdiction in which invitations under the EIP have been made;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any manifest error or mistake;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into consideration possible adverse tax implications in respect of the EIP arising from, amongst others, adverse rulings, changes to tax legislation and/or changes in the interpretation of tax legislation by a court of competent jurisdiction.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7"/>
          <w:szCs w:val="17"/>
          <w:b w:val="1"/>
          <w:bCs w:val="1"/>
          <w:color w:val="auto"/>
        </w:rPr>
        <w:t>Notice of amendment</w:t>
      </w:r>
    </w:p>
    <w:p>
      <w:pPr>
        <w:spacing w:after="0" w:line="229"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As soon as reasonably practicable after making any amendment under rule 1 3. 1 , the Board will give notice in writing of that amendment to any Participant affected by the amendment.</w:t>
      </w:r>
    </w:p>
    <w:p>
      <w:pPr>
        <w:spacing w:after="0" w:line="158" w:lineRule="exact"/>
        <w:rPr>
          <w:sz w:val="20"/>
          <w:szCs w:val="20"/>
          <w:color w:val="auto"/>
        </w:rPr>
      </w:pPr>
    </w:p>
    <w:p>
      <w:pPr>
        <w:ind w:right="8460" w:firstLine="8"/>
        <w:spacing w:after="0" w:line="518" w:lineRule="auto"/>
        <w:tabs>
          <w:tab w:leader="none" w:pos="648"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Participants based overseas 14.1 Overseas transfers</w:t>
      </w:r>
    </w:p>
    <w:p>
      <w:pPr>
        <w:spacing w:after="0" w:line="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is required to work in another country at the direction of the Company and, as a result of that transfer:</w:t>
      </w:r>
    </w:p>
    <w:p>
      <w:pPr>
        <w:spacing w:after="0" w:line="225" w:lineRule="exact"/>
        <w:rPr>
          <w:rFonts w:ascii="Times New Roman" w:cs="Times New Roman" w:eastAsia="Times New Roman" w:hAnsi="Times New Roman"/>
          <w:sz w:val="18"/>
          <w:szCs w:val="18"/>
          <w:b w:val="1"/>
          <w:bCs w:val="1"/>
          <w:color w:val="auto"/>
        </w:rPr>
      </w:pPr>
    </w:p>
    <w:p>
      <w:pPr>
        <w:ind w:left="1300" w:right="180" w:hanging="644"/>
        <w:spacing w:after="0" w:line="282" w:lineRule="auto"/>
        <w:tabs>
          <w:tab w:leader="none" w:pos="130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or any Group Company would suffer a tax disadvantage in relation to their Incentive Securities (this being demonstrated to the satisfaction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-999490</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7" w:name="page348"/>
    <w:bookmarkEnd w:id="347"/>
    <w:p>
      <w:pPr>
        <w:ind w:left="1300" w:hanging="644"/>
        <w:spacing w:after="0"/>
        <w:tabs>
          <w:tab w:leader="none" w:pos="13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would be restricted in its ability to Vest Incentive Securities and/or allocate Shares to the Participant; or</w:t>
      </w:r>
    </w:p>
    <w:p>
      <w:pPr>
        <w:spacing w:after="0" w:line="225" w:lineRule="exact"/>
        <w:rPr>
          <w:rFonts w:ascii="Times New Roman" w:cs="Times New Roman" w:eastAsia="Times New Roman" w:hAnsi="Times New Roman"/>
          <w:sz w:val="18"/>
          <w:szCs w:val="18"/>
          <w:color w:val="auto"/>
        </w:rPr>
      </w:pPr>
    </w:p>
    <w:p>
      <w:pPr>
        <w:jc w:val="both"/>
        <w:ind w:left="1300" w:right="260" w:hanging="644"/>
        <w:spacing w:after="0" w:line="266" w:lineRule="auto"/>
        <w:tabs>
          <w:tab w:leader="none" w:pos="13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would become subject to restrictions on their ability to Deal with the Incentive Securities or any Shares allocated to the Participant in respect of those Incentive Securities because of the security laws or exchange control laws of the country to which he or she is transferred,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then, if the Participant continues to hold an office or employment with the Group,the Board may decide that:</w:t>
      </w:r>
    </w:p>
    <w:p>
      <w:pPr>
        <w:spacing w:after="0" w:line="225" w:lineRule="exact"/>
        <w:rPr>
          <w:sz w:val="20"/>
          <w:szCs w:val="20"/>
          <w:color w:val="auto"/>
        </w:rPr>
      </w:pPr>
    </w:p>
    <w:p>
      <w:pPr>
        <w:ind w:left="1300" w:hanging="644"/>
        <w:spacing w:after="0"/>
        <w:tabs>
          <w:tab w:leader="none" w:pos="13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or all of the Participant’s Restricted Shares or Rights will Vest;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or all of the Participant’s Options will Vest and become exercisable;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or all of the Participant’s Options or Rights will be settled in cash in lieu of Shares; or</w:t>
      </w:r>
    </w:p>
    <w:p>
      <w:pPr>
        <w:spacing w:after="0" w:line="225" w:lineRule="exact"/>
        <w:rPr>
          <w:rFonts w:ascii="Times New Roman" w:cs="Times New Roman" w:eastAsia="Times New Roman" w:hAnsi="Times New Roman"/>
          <w:sz w:val="18"/>
          <w:szCs w:val="18"/>
          <w:color w:val="auto"/>
        </w:rPr>
      </w:pPr>
    </w:p>
    <w:p>
      <w:pPr>
        <w:ind w:left="660" w:right="1280" w:hanging="4"/>
        <w:spacing w:after="0" w:line="498" w:lineRule="auto"/>
        <w:tabs>
          <w:tab w:leader="none" w:pos="130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treatment that the Board determines will apply in relation to some or all of a Participant’s Incentive Securities, with the balance (if any) continuing to be held on the original terms.</w:t>
      </w:r>
    </w:p>
    <w:p>
      <w:pPr>
        <w:spacing w:after="0" w:line="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b w:val="1"/>
          <w:bCs w:val="1"/>
          <w:color w:val="auto"/>
        </w:rPr>
        <w:t>Non-Australian residents</w:t>
      </w:r>
    </w:p>
    <w:p>
      <w:pPr>
        <w:spacing w:after="0" w:line="229" w:lineRule="exact"/>
        <w:rPr>
          <w:sz w:val="20"/>
          <w:szCs w:val="20"/>
          <w:color w:val="auto"/>
        </w:rPr>
      </w:pPr>
    </w:p>
    <w:p>
      <w:pPr>
        <w:ind w:left="1300" w:right="840" w:hanging="644"/>
        <w:spacing w:after="0" w:line="282" w:lineRule="auto"/>
        <w:tabs>
          <w:tab w:leader="none" w:pos="130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adopt additional rules of the EIP that will apply to a grant made to an Eligible Employee who is a resident in a jurisdiction other than Australia, including by attaching a schedule to these Rules.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30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provisions of these Rules will apply subject to whatever alterations or additions the Board may determine having regard to any securities, exchange control, taxation or other laws and/or regulations or any other matter that the Board considers directly or indirectly relevant.</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of any inconsistency, any additional rules adopted by the Board under this rule will prevail over any other provision of these Rules.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7"/>
          <w:szCs w:val="17"/>
          <w:b w:val="1"/>
          <w:bCs w:val="1"/>
          <w:color w:val="auto"/>
        </w:rPr>
        <w:t>Shares issued under the EIP</w:t>
      </w:r>
    </w:p>
    <w:p>
      <w:pPr>
        <w:spacing w:after="0" w:line="229" w:lineRule="exact"/>
        <w:rPr>
          <w:sz w:val="20"/>
          <w:szCs w:val="20"/>
          <w:color w:val="auto"/>
        </w:rPr>
      </w:pPr>
    </w:p>
    <w:p>
      <w:pPr>
        <w:jc w:val="both"/>
        <w:ind w:left="1300" w:right="460" w:hanging="644"/>
        <w:spacing w:after="0" w:line="266" w:lineRule="auto"/>
        <w:tabs>
          <w:tab w:leader="none" w:pos="13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issued under the EIP will rank equally in all respects with other Shares for the time being on issue by the Company (for example, having rights with respect to voting, dividends and other distributions, and in the event of a winding up of the Company), except in relation to any rights attaching to such Shares by reference to a record date prior to the date of their issue.</w:t>
      </w:r>
    </w:p>
    <w:p>
      <w:pPr>
        <w:spacing w:after="0" w:line="175"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listed, the Company will apply for quotation of Shares issued under the EIP within the period required by the Listing Rules.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b w:val="1"/>
          <w:bCs w:val="1"/>
          <w:color w:val="auto"/>
        </w:rPr>
        <w:t>Rights and obligations of Participants</w:t>
      </w:r>
    </w:p>
    <w:p>
      <w:pPr>
        <w:spacing w:after="0" w:line="229" w:lineRule="exact"/>
        <w:rPr>
          <w:sz w:val="20"/>
          <w:szCs w:val="20"/>
          <w:color w:val="auto"/>
        </w:rPr>
      </w:pPr>
    </w:p>
    <w:p>
      <w:pPr>
        <w:ind w:left="1300" w:right="340" w:hanging="644"/>
        <w:spacing w:after="0" w:line="282" w:lineRule="auto"/>
        <w:tabs>
          <w:tab w:leader="none" w:pos="13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subject of an express provision in an employment contract, the rights and obligations of any Participant under the terms of their office, employment or contract with the Group are not affected by their participation in the EIP.</w:t>
      </w:r>
    </w:p>
    <w:p>
      <w:pPr>
        <w:spacing w:after="0" w:line="161"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3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the EIP does not confer on any Participant any right to future employment and does not affect any rights which any member of the Group may have to terminate the employment of any Participant.</w:t>
      </w:r>
    </w:p>
    <w:p>
      <w:pPr>
        <w:spacing w:after="0" w:line="161"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Rules will not form part of and are not incorporated into any contract of any Participant (whether or not they are an employee of the Group).</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8" w:name="page349"/>
    <w:bookmarkEnd w:id="348"/>
    <w:p>
      <w:pPr>
        <w:ind w:left="1300" w:right="580" w:hanging="644"/>
        <w:spacing w:after="0" w:line="282" w:lineRule="auto"/>
        <w:tabs>
          <w:tab w:leader="none" w:pos="13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Incentive Securities on a particular basis in any year does not create any right or expectation of the grant of Incentive Securities on the same basis, or at all, in any future year.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has any right to compensation for any loss in relation to the EIP, including:</w:t>
      </w:r>
    </w:p>
    <w:p>
      <w:pPr>
        <w:spacing w:after="0" w:line="225" w:lineRule="exact"/>
        <w:rPr>
          <w:rFonts w:ascii="Times New Roman" w:cs="Times New Roman" w:eastAsia="Times New Roman" w:hAnsi="Times New Roman"/>
          <w:sz w:val="18"/>
          <w:szCs w:val="18"/>
          <w:color w:val="auto"/>
        </w:rPr>
      </w:pPr>
    </w:p>
    <w:p>
      <w:pPr>
        <w:ind w:left="1960" w:right="360" w:hanging="656"/>
        <w:spacing w:after="0" w:line="282" w:lineRule="auto"/>
        <w:tabs>
          <w:tab w:leader="none" w:pos="196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or reduction of any rights or expectations under the ElP in any circumstances or for any reason (including lawful or unlawful termination of employment or the employment relationship);</w:t>
      </w:r>
    </w:p>
    <w:p>
      <w:pPr>
        <w:spacing w:after="0" w:line="161" w:lineRule="exact"/>
        <w:rPr>
          <w:rFonts w:ascii="Times New Roman" w:cs="Times New Roman" w:eastAsia="Times New Roman" w:hAnsi="Times New Roman"/>
          <w:sz w:val="18"/>
          <w:szCs w:val="18"/>
          <w:color w:val="auto"/>
        </w:rPr>
      </w:pPr>
    </w:p>
    <w:p>
      <w:pPr>
        <w:ind w:left="1960" w:right="480" w:hanging="656"/>
        <w:spacing w:after="0" w:line="282" w:lineRule="auto"/>
        <w:tabs>
          <w:tab w:leader="none" w:pos="196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a discretion or a decision taken in relation to a grant of Incentive Securities or in relation to the EIP, or any failure to exercise a discretion under these Rules;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suspension, termination or amendment of the EIP;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lapse or forfeiture (as applicable) of any Incentive Securities.</w:t>
      </w:r>
    </w:p>
    <w:p>
      <w:pPr>
        <w:spacing w:after="0" w:line="225"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irrevocably appoints, for valuable consideration, each company secretary of the Company (or any other officer of the Company authorised by the Board for this purpose) as his or her attorney to do anything necessary to:</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Shares to the Participant in accordance with these Rules;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forfeiture of Shares in accordance with these Rules (including rule 7 or the terms of an Offer);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transfers of Shares in accordance with these Rules.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15.3</w:t>
      </w:r>
      <w:r>
        <w:rPr>
          <w:sz w:val="20"/>
          <w:szCs w:val="20"/>
          <w:color w:val="auto"/>
        </w:rPr>
        <w:tab/>
      </w:r>
      <w:r>
        <w:rPr>
          <w:rFonts w:ascii="Times New Roman" w:cs="Times New Roman" w:eastAsia="Times New Roman" w:hAnsi="Times New Roman"/>
          <w:sz w:val="17"/>
          <w:szCs w:val="17"/>
          <w:b w:val="1"/>
          <w:bCs w:val="1"/>
          <w:color w:val="auto"/>
        </w:rPr>
        <w:t>Power of the Board to administer the EIP</w:t>
      </w:r>
    </w:p>
    <w:p>
      <w:pPr>
        <w:spacing w:after="0" w:line="229" w:lineRule="exact"/>
        <w:rPr>
          <w:sz w:val="20"/>
          <w:szCs w:val="20"/>
          <w:color w:val="auto"/>
        </w:rPr>
      </w:pPr>
    </w:p>
    <w:p>
      <w:pPr>
        <w:ind w:left="1300" w:hanging="644"/>
        <w:spacing w:after="0"/>
        <w:tabs>
          <w:tab w:leader="none" w:pos="130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EIP is administered by the Board, which has power to:</w:t>
      </w:r>
    </w:p>
    <w:p>
      <w:pPr>
        <w:spacing w:after="0" w:line="225" w:lineRule="exact"/>
        <w:rPr>
          <w:rFonts w:ascii="Times New Roman" w:cs="Times New Roman" w:eastAsia="Times New Roman" w:hAnsi="Times New Roman"/>
          <w:sz w:val="18"/>
          <w:szCs w:val="18"/>
          <w:color w:val="auto"/>
        </w:rPr>
      </w:pPr>
    </w:p>
    <w:p>
      <w:pPr>
        <w:jc w:val="both"/>
        <w:ind w:left="1960" w:right="80" w:hanging="656"/>
        <w:spacing w:after="0" w:line="266" w:lineRule="auto"/>
        <w:tabs>
          <w:tab w:leader="none" w:pos="196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appropriate procedures for administration of the EIP consistent with these Rules including to implement an employee share trust for the purposes of delivering and holding Shares on behalf of Participants upon the grant of Restricted Shares or the Vesting and exercise of Rights or exercise of Options; and</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to any one or more persons for such period and on such conditions as it may determine the exercise of any of its powers or discretions arising under the EIP.</w:t>
      </w:r>
    </w:p>
    <w:p>
      <w:pPr>
        <w:spacing w:after="0" w:line="161"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30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the EIP, the Board has absolute and unfettered discretion to act or refrain from acting under or in connection with the EIP and in the exercise of any power or discretion under the EIP.</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15.4</w:t>
      </w:r>
      <w:r>
        <w:rPr>
          <w:sz w:val="20"/>
          <w:szCs w:val="20"/>
          <w:color w:val="auto"/>
        </w:rPr>
        <w:tab/>
      </w:r>
      <w:r>
        <w:rPr>
          <w:rFonts w:ascii="Times New Roman" w:cs="Times New Roman" w:eastAsia="Times New Roman" w:hAnsi="Times New Roman"/>
          <w:sz w:val="17"/>
          <w:szCs w:val="17"/>
          <w:b w:val="1"/>
          <w:bCs w:val="1"/>
          <w:color w:val="auto"/>
        </w:rPr>
        <w:t>Waiver of terms and conditions</w:t>
      </w:r>
    </w:p>
    <w:p>
      <w:pPr>
        <w:spacing w:after="0" w:line="229" w:lineRule="exact"/>
        <w:rPr>
          <w:sz w:val="20"/>
          <w:szCs w:val="20"/>
          <w:color w:val="auto"/>
        </w:rPr>
      </w:pPr>
    </w:p>
    <w:p>
      <w:pPr>
        <w:ind w:left="660" w:right="44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provisions of the EIP, the Board may at any time waive in whole or in part any terms or conditions (including any Vesting Condition) in relation to any Incentive Securities or Shares granted to a Participant.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15.5</w:t>
      </w:r>
      <w:r>
        <w:rPr>
          <w:sz w:val="20"/>
          <w:szCs w:val="20"/>
          <w:color w:val="auto"/>
        </w:rPr>
        <w:tab/>
      </w:r>
      <w:r>
        <w:rPr>
          <w:rFonts w:ascii="Times New Roman" w:cs="Times New Roman" w:eastAsia="Times New Roman" w:hAnsi="Times New Roman"/>
          <w:sz w:val="17"/>
          <w:szCs w:val="17"/>
          <w:b w:val="1"/>
          <w:bCs w:val="1"/>
          <w:color w:val="auto"/>
        </w:rPr>
        <w:t>Application of constitution, Dodd-Frank Compensation Recovery Policy, Corporations Act and Listing Rules</w:t>
      </w:r>
    </w:p>
    <w:p>
      <w:pPr>
        <w:spacing w:after="0" w:line="229"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provisions of the EIP, Incentive Securities and Shares will not be allocated, issued, acquired, transferred or otherwise dealt with under the EIP if to do so would:</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9" w:name="page350"/>
    <w:bookmarkEnd w:id="349"/>
    <w:p>
      <w:pPr>
        <w:ind w:left="1300" w:right="120" w:hanging="644"/>
        <w:spacing w:after="0" w:line="282" w:lineRule="auto"/>
        <w:tabs>
          <w:tab w:leader="none" w:pos="13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the constitution of the Company, the Corporations Act, any applicable Listing Rules or any other applicable laws, class order or instrument that is being relied on (including any applicable foreign law); or</w:t>
      </w:r>
    </w:p>
    <w:p>
      <w:pPr>
        <w:spacing w:after="0" w:line="161"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3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Company or any Group Company to pay, provide, or procure the payment or provision of, any money or benefits to the Participant which would require shareholder approval under Part 2D.2, Division 2 of the Corporations Act.</w:t>
      </w:r>
    </w:p>
    <w:p>
      <w:pPr>
        <w:spacing w:after="0" w:line="162" w:lineRule="exact"/>
        <w:rPr>
          <w:sz w:val="20"/>
          <w:szCs w:val="20"/>
          <w:color w:val="auto"/>
        </w:rPr>
      </w:pPr>
    </w:p>
    <w:p>
      <w:pPr>
        <w:ind w:left="660" w:right="100"/>
        <w:spacing w:after="0" w:line="255" w:lineRule="auto"/>
        <w:rPr>
          <w:sz w:val="20"/>
          <w:szCs w:val="20"/>
          <w:color w:val="auto"/>
        </w:rPr>
      </w:pPr>
      <w:r>
        <w:rPr>
          <w:rFonts w:ascii="Times New Roman" w:cs="Times New Roman" w:eastAsia="Times New Roman" w:hAnsi="Times New Roman"/>
          <w:sz w:val="18"/>
          <w:szCs w:val="18"/>
          <w:color w:val="auto"/>
        </w:rPr>
        <w:t>In accepting an Offer under the EIP, the Eligible Employee agrees to be bound by the Company’s Dodd-Frank Compensation Recovery Policy (and any successor policy) (</w:t>
      </w:r>
      <w:r>
        <w:rPr>
          <w:rFonts w:ascii="Times New Roman" w:cs="Times New Roman" w:eastAsia="Times New Roman" w:hAnsi="Times New Roman"/>
          <w:sz w:val="18"/>
          <w:szCs w:val="18"/>
          <w:b w:val="1"/>
          <w:bCs w:val="1"/>
          <w:color w:val="auto"/>
        </w:rPr>
        <w:t>Compensation Recovery Policy</w:t>
      </w:r>
      <w:r>
        <w:rPr>
          <w:rFonts w:ascii="Times New Roman" w:cs="Times New Roman" w:eastAsia="Times New Roman" w:hAnsi="Times New Roman"/>
          <w:sz w:val="18"/>
          <w:szCs w:val="18"/>
          <w:color w:val="auto"/>
        </w:rPr>
        <w:t>) with respect to all compensation granted under the EIP to the extent such compensation constitutes “incentive-based compensation” (as defined in the Compensation Recovery Policy) that the Eligible Employee received after the date that the Company had a class of securities listed on a national securities exchange in the United States. In the event the Company’s People, Culture, Nomination and Remuneration Committee or the Board determines, in accordance with the Compensation Recovery Policy, that any such incentive-based compensation granted under the EIP must be forfeited or reimbursed to the Company, the Eligible Employee agrees to promptly take all actions necessary to effectuate such forfeiture and/or reimbursement as determined by the Company.</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15.6</w:t>
      </w:r>
      <w:r>
        <w:rPr>
          <w:sz w:val="20"/>
          <w:szCs w:val="20"/>
          <w:color w:val="auto"/>
        </w:rPr>
        <w:tab/>
      </w:r>
      <w:r>
        <w:rPr>
          <w:rFonts w:ascii="Times New Roman" w:cs="Times New Roman" w:eastAsia="Times New Roman" w:hAnsi="Times New Roman"/>
          <w:sz w:val="17"/>
          <w:szCs w:val="17"/>
          <w:b w:val="1"/>
          <w:bCs w:val="1"/>
          <w:color w:val="auto"/>
        </w:rPr>
        <w:t>Dispute or disagreement</w:t>
      </w:r>
    </w:p>
    <w:p>
      <w:pPr>
        <w:spacing w:after="0" w:line="229"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In the event of any dispute, disagreement or uncertainty as to the interpretation of the EIP, or as to any question or right arising from or related to the EIP or to any Incentive Securities or Shares granted under it, the decision of the Board is final and binding.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15.7</w:t>
      </w:r>
      <w:r>
        <w:rPr>
          <w:sz w:val="20"/>
          <w:szCs w:val="20"/>
          <w:color w:val="auto"/>
        </w:rPr>
        <w:tab/>
      </w:r>
      <w:r>
        <w:rPr>
          <w:rFonts w:ascii="Times New Roman" w:cs="Times New Roman" w:eastAsia="Times New Roman" w:hAnsi="Times New Roman"/>
          <w:sz w:val="17"/>
          <w:szCs w:val="17"/>
          <w:b w:val="1"/>
          <w:bCs w:val="1"/>
          <w:color w:val="auto"/>
        </w:rPr>
        <w:t>Approved leave of absence</w:t>
      </w:r>
    </w:p>
    <w:p>
      <w:pPr>
        <w:spacing w:after="0" w:line="229"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Subject to applicable laws, at the discretion of the Board, a Participant who is granted an approved leave of absence and who exercises their right to return to work under any applicable award, enterprise agreement, other agreement, statute or regulation may be treated as not having ceased to be an employee for the purposes of rule 8 of the Rules. Whether a Participant who is granted leave without pay is deemed to have ceased employment will be determined with reference to the Group’s policies and any applicable laws.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15.8</w:t>
      </w:r>
      <w:r>
        <w:rPr>
          <w:sz w:val="20"/>
          <w:szCs w:val="20"/>
          <w:color w:val="auto"/>
        </w:rPr>
        <w:tab/>
      </w:r>
      <w:r>
        <w:rPr>
          <w:rFonts w:ascii="Times New Roman" w:cs="Times New Roman" w:eastAsia="Times New Roman" w:hAnsi="Times New Roman"/>
          <w:sz w:val="17"/>
          <w:szCs w:val="17"/>
          <w:b w:val="1"/>
          <w:bCs w:val="1"/>
          <w:color w:val="auto"/>
        </w:rPr>
        <w:t>Communication</w:t>
      </w:r>
    </w:p>
    <w:p>
      <w:pPr>
        <w:spacing w:after="0" w:line="229" w:lineRule="exact"/>
        <w:rPr>
          <w:sz w:val="20"/>
          <w:szCs w:val="20"/>
          <w:color w:val="auto"/>
        </w:rPr>
      </w:pPr>
    </w:p>
    <w:p>
      <w:pPr>
        <w:ind w:left="1300" w:right="100" w:hanging="644"/>
        <w:spacing w:after="0" w:line="282" w:lineRule="auto"/>
        <w:tabs>
          <w:tab w:leader="none" w:pos="13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provided under or in connection with the EIP may be given by personal delivery, by post or email or by posting or</w:t>
      </w:r>
    </w:p>
    <w:p>
      <w:pPr>
        <w:spacing w:after="0" w:line="16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it on the Company’s intranet to:</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company, to its registered office;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to the individual’s last notified address; or</w:t>
      </w:r>
    </w:p>
    <w:p>
      <w:pPr>
        <w:spacing w:after="0" w:line="225" w:lineRule="exact"/>
        <w:rPr>
          <w:rFonts w:ascii="Times New Roman" w:cs="Times New Roman" w:eastAsia="Times New Roman" w:hAnsi="Times New Roman"/>
          <w:sz w:val="18"/>
          <w:szCs w:val="18"/>
          <w:color w:val="auto"/>
        </w:rPr>
      </w:pPr>
    </w:p>
    <w:p>
      <w:pPr>
        <w:ind w:left="1960" w:right="40" w:hanging="656"/>
        <w:spacing w:after="0" w:line="266" w:lineRule="auto"/>
        <w:tabs>
          <w:tab w:leader="none" w:pos="196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Participant is a Director or employee of the Group, either to the Participant’s last known address, email address or to the address of the place of business at which the Participant performs the whole or substantially the whole of the duties of the Participant’s office or employment.</w:t>
      </w:r>
    </w:p>
    <w:p>
      <w:pPr>
        <w:spacing w:after="0" w:line="175" w:lineRule="exact"/>
        <w:rPr>
          <w:rFonts w:ascii="Times New Roman" w:cs="Times New Roman" w:eastAsia="Times New Roman" w:hAnsi="Times New Roman"/>
          <w:sz w:val="18"/>
          <w:szCs w:val="18"/>
          <w:color w:val="auto"/>
        </w:rPr>
      </w:pPr>
    </w:p>
    <w:p>
      <w:pPr>
        <w:ind w:left="1300" w:right="460" w:hanging="644"/>
        <w:spacing w:after="0" w:line="261" w:lineRule="auto"/>
        <w:tabs>
          <w:tab w:leader="none" w:pos="13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notice or other communication is given by post, it is deemed to have been received 48 hours (or, where given by post to an address outside of Australia, five days) after it was put into the post properly addressed and stamped. Where a notice or other communication is given by email or delivered over the Company’s intranet, it is deemed to have been received on completion of transmission.</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0" w:name="page351"/>
    <w:bookmarkEnd w:id="350"/>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15.9</w:t>
      </w:r>
      <w:r>
        <w:rPr>
          <w:sz w:val="20"/>
          <w:szCs w:val="20"/>
          <w:color w:val="auto"/>
        </w:rPr>
        <w:tab/>
      </w:r>
      <w:r>
        <w:rPr>
          <w:rFonts w:ascii="Times New Roman" w:cs="Times New Roman" w:eastAsia="Times New Roman" w:hAnsi="Times New Roman"/>
          <w:sz w:val="17"/>
          <w:szCs w:val="17"/>
          <w:b w:val="1"/>
          <w:bCs w:val="1"/>
          <w:color w:val="auto"/>
        </w:rPr>
        <w:t>Data protection</w:t>
      </w:r>
    </w:p>
    <w:p>
      <w:pPr>
        <w:spacing w:after="0" w:line="229"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Subject to any applicable laws, by participating in the Plan, the Participant consents to the holding and processing of personal data provided by the Participant to the Group, the administrator of the Plan or the Trustee, for all purposes with regard to the operation of the Plan. These include, but are not limited to:</w:t>
      </w:r>
    </w:p>
    <w:p>
      <w:pPr>
        <w:spacing w:after="0" w:line="176" w:lineRule="exact"/>
        <w:rPr>
          <w:sz w:val="20"/>
          <w:szCs w:val="20"/>
          <w:color w:val="auto"/>
        </w:rPr>
      </w:pPr>
    </w:p>
    <w:p>
      <w:pPr>
        <w:ind w:left="1300" w:hanging="644"/>
        <w:spacing w:after="0"/>
        <w:tabs>
          <w:tab w:leader="none" w:pos="13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and maintaining Participant records;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information to the Trustee, registrars, brokers, printers or third party administrators of the Plan;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information to any regulatory authority (including the Australian Tax Office) where required under law;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information to future purchasers of a Group Company or the business in which the Participant works.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15.10</w:t>
      </w:r>
      <w:r>
        <w:rPr>
          <w:sz w:val="20"/>
          <w:szCs w:val="20"/>
          <w:color w:val="auto"/>
        </w:rPr>
        <w:tab/>
      </w:r>
      <w:r>
        <w:rPr>
          <w:rFonts w:ascii="Times New Roman" w:cs="Times New Roman" w:eastAsia="Times New Roman" w:hAnsi="Times New Roman"/>
          <w:sz w:val="16"/>
          <w:szCs w:val="16"/>
          <w:b w:val="1"/>
          <w:bCs w:val="1"/>
          <w:color w:val="auto"/>
        </w:rPr>
        <w:t>Tax</w:t>
      </w:r>
    </w:p>
    <w:p>
      <w:pPr>
        <w:spacing w:after="0" w:line="229"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Unless otherwise required by law, no Group Company is responsible for any Tax which may become payable by a Participant as a consequence of or in connection with the grant of any Incentive Securities, the allocation of any Shares or any Dealing with any Incentive Securities or any Shares.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15.11</w:t>
      </w:r>
      <w:r>
        <w:rPr>
          <w:sz w:val="20"/>
          <w:szCs w:val="20"/>
          <w:color w:val="auto"/>
        </w:rPr>
        <w:tab/>
      </w:r>
      <w:r>
        <w:rPr>
          <w:rFonts w:ascii="Times New Roman" w:cs="Times New Roman" w:eastAsia="Times New Roman" w:hAnsi="Times New Roman"/>
          <w:sz w:val="17"/>
          <w:szCs w:val="17"/>
          <w:b w:val="1"/>
          <w:bCs w:val="1"/>
          <w:color w:val="auto"/>
        </w:rPr>
        <w:t>Application of Act</w:t>
      </w:r>
    </w:p>
    <w:p>
      <w:pPr>
        <w:spacing w:after="0" w:line="227" w:lineRule="exact"/>
        <w:rPr>
          <w:sz w:val="20"/>
          <w:szCs w:val="20"/>
          <w:color w:val="auto"/>
        </w:rPr>
      </w:pPr>
    </w:p>
    <w:p>
      <w:pPr>
        <w:ind w:left="660" w:right="40"/>
        <w:spacing w:after="0" w:line="284" w:lineRule="auto"/>
        <w:rPr>
          <w:sz w:val="20"/>
          <w:szCs w:val="20"/>
          <w:color w:val="auto"/>
        </w:rPr>
      </w:pPr>
      <w:r>
        <w:rPr>
          <w:rFonts w:ascii="Times New Roman" w:cs="Times New Roman" w:eastAsia="Times New Roman" w:hAnsi="Times New Roman"/>
          <w:sz w:val="18"/>
          <w:szCs w:val="18"/>
          <w:color w:val="auto"/>
        </w:rPr>
        <w:t xml:space="preserve">Unless otherwise stated, this scheme is a scheme to which Subdivision 83A-C of the </w:t>
      </w:r>
      <w:r>
        <w:rPr>
          <w:rFonts w:ascii="Times New Roman" w:cs="Times New Roman" w:eastAsia="Times New Roman" w:hAnsi="Times New Roman"/>
          <w:sz w:val="18"/>
          <w:szCs w:val="18"/>
          <w:i w:val="1"/>
          <w:iCs w:val="1"/>
          <w:color w:val="auto"/>
        </w:rPr>
        <w:t>Income Tax Assessment Act 1997</w:t>
      </w:r>
      <w:r>
        <w:rPr>
          <w:rFonts w:ascii="Times New Roman" w:cs="Times New Roman" w:eastAsia="Times New Roman" w:hAnsi="Times New Roman"/>
          <w:sz w:val="18"/>
          <w:szCs w:val="18"/>
          <w:color w:val="auto"/>
        </w:rPr>
        <w:t xml:space="preserve"> (Cth) applies (subject to the conditions in that Act).</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15.12</w:t>
      </w:r>
      <w:r>
        <w:rPr>
          <w:sz w:val="20"/>
          <w:szCs w:val="20"/>
          <w:color w:val="auto"/>
        </w:rPr>
        <w:tab/>
      </w:r>
      <w:r>
        <w:rPr>
          <w:rFonts w:ascii="Times New Roman" w:cs="Times New Roman" w:eastAsia="Times New Roman" w:hAnsi="Times New Roman"/>
          <w:sz w:val="17"/>
          <w:szCs w:val="17"/>
          <w:b w:val="1"/>
          <w:bCs w:val="1"/>
          <w:color w:val="auto"/>
        </w:rPr>
        <w:t>Laws governing EIP</w:t>
      </w:r>
    </w:p>
    <w:p>
      <w:pPr>
        <w:spacing w:after="0" w:line="229" w:lineRule="exact"/>
        <w:rPr>
          <w:sz w:val="20"/>
          <w:szCs w:val="20"/>
          <w:color w:val="auto"/>
        </w:rPr>
      </w:pPr>
    </w:p>
    <w:p>
      <w:pPr>
        <w:ind w:left="660" w:right="520"/>
        <w:spacing w:after="0" w:line="282" w:lineRule="auto"/>
        <w:rPr>
          <w:sz w:val="20"/>
          <w:szCs w:val="20"/>
          <w:color w:val="auto"/>
        </w:rPr>
      </w:pPr>
      <w:r>
        <w:rPr>
          <w:rFonts w:ascii="Times New Roman" w:cs="Times New Roman" w:eastAsia="Times New Roman" w:hAnsi="Times New Roman"/>
          <w:sz w:val="18"/>
          <w:szCs w:val="18"/>
          <w:color w:val="auto"/>
        </w:rPr>
        <w:t>The EIP, and any Incentive Securities granted and Shares allocated under it, are governed by the laws of Victoria and the Commonwealth of Australia.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D: Definitions and 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right="8280" w:firstLine="8"/>
        <w:spacing w:after="0" w:line="529" w:lineRule="auto"/>
        <w:tabs>
          <w:tab w:leader="none" w:pos="648" w:val="left"/>
        </w:tabs>
        <w:numPr>
          <w:ilvl w:val="0"/>
          <w:numId w:val="2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 16.1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91"/>
        </w:trPr>
        <w:tc>
          <w:tcPr>
            <w:tcW w:w="680" w:type="dxa"/>
            <w:vAlign w:val="bottom"/>
            <w:tcBorders>
              <w:right w:val="single" w:sz="8" w:color="auto"/>
            </w:tcBorders>
          </w:tcPr>
          <w:p>
            <w:pPr>
              <w:spacing w:after="0"/>
              <w:rPr>
                <w:sz w:val="24"/>
                <w:szCs w:val="24"/>
                <w:color w:val="auto"/>
              </w:rPr>
            </w:pPr>
          </w:p>
        </w:tc>
        <w:tc>
          <w:tcPr>
            <w:tcW w:w="2860" w:type="dxa"/>
            <w:vAlign w:val="bottom"/>
            <w:tcBorders>
              <w:top w:val="single" w:sz="8" w:color="auto"/>
              <w:right w:val="single" w:sz="8" w:color="auto"/>
            </w:tcBorders>
            <w:shd w:val="clear" w:color="auto" w:fill="313D4F"/>
          </w:tcPr>
          <w:p>
            <w:pPr>
              <w:ind w:left="80"/>
              <w:spacing w:after="0"/>
              <w:rPr>
                <w:sz w:val="20"/>
                <w:szCs w:val="20"/>
                <w:color w:val="auto"/>
              </w:rPr>
            </w:pPr>
            <w:r>
              <w:rPr>
                <w:rFonts w:ascii="Times New Roman" w:cs="Times New Roman" w:eastAsia="Times New Roman" w:hAnsi="Times New Roman"/>
                <w:sz w:val="18"/>
                <w:szCs w:val="18"/>
                <w:b w:val="1"/>
                <w:bCs w:val="1"/>
                <w:color w:val="FFFFFF"/>
              </w:rPr>
              <w:t>Defined term</w:t>
            </w:r>
          </w:p>
        </w:tc>
        <w:tc>
          <w:tcPr>
            <w:tcW w:w="7700" w:type="dxa"/>
            <w:vAlign w:val="bottom"/>
            <w:tcBorders>
              <w:top w:val="single" w:sz="8" w:color="auto"/>
              <w:right w:val="single" w:sz="8" w:color="auto"/>
            </w:tcBorders>
            <w:shd w:val="clear" w:color="auto" w:fill="313D4F"/>
          </w:tcPr>
          <w:p>
            <w:pPr>
              <w:ind w:left="60"/>
              <w:spacing w:after="0"/>
              <w:rPr>
                <w:sz w:val="20"/>
                <w:szCs w:val="20"/>
                <w:color w:val="auto"/>
              </w:rPr>
            </w:pPr>
            <w:r>
              <w:rPr>
                <w:rFonts w:ascii="Times New Roman" w:cs="Times New Roman" w:eastAsia="Times New Roman" w:hAnsi="Times New Roman"/>
                <w:sz w:val="18"/>
                <w:szCs w:val="18"/>
                <w:b w:val="1"/>
                <w:bCs w:val="1"/>
                <w:color w:val="FFFFFF"/>
              </w:rPr>
              <w:t>Meaning</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shd w:val="clear" w:color="auto" w:fill="313D4F"/>
          </w:tcPr>
          <w:p>
            <w:pPr>
              <w:spacing w:after="0"/>
              <w:rPr>
                <w:sz w:val="6"/>
                <w:szCs w:val="6"/>
                <w:color w:val="auto"/>
              </w:rPr>
            </w:pPr>
          </w:p>
        </w:tc>
        <w:tc>
          <w:tcPr>
            <w:tcW w:w="7700" w:type="dxa"/>
            <w:vAlign w:val="bottom"/>
            <w:tcBorders>
              <w:bottom w:val="single" w:sz="8" w:color="auto"/>
              <w:right w:val="single" w:sz="8" w:color="auto"/>
            </w:tcBorders>
            <w:shd w:val="clear" w:color="auto" w:fill="313D4F"/>
          </w:tcPr>
          <w:p>
            <w:pPr>
              <w:spacing w:after="0"/>
              <w:rPr>
                <w:sz w:val="6"/>
                <w:szCs w:val="6"/>
                <w:color w:val="auto"/>
              </w:rPr>
            </w:pPr>
          </w:p>
        </w:tc>
      </w:tr>
      <w:tr>
        <w:trPr>
          <w:trHeight w:val="284"/>
        </w:trPr>
        <w:tc>
          <w:tcPr>
            <w:tcW w:w="68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ASX</w:t>
            </w: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ASX Limited ACN 008 624 691 or the Australian Securities Exchange, as the context requires.</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tcPr>
          <w:p>
            <w:pPr>
              <w:spacing w:after="0"/>
              <w:rPr>
                <w:sz w:val="6"/>
                <w:szCs w:val="6"/>
                <w:color w:val="auto"/>
              </w:rPr>
            </w:pPr>
          </w:p>
        </w:tc>
      </w:tr>
      <w:tr>
        <w:trPr>
          <w:trHeight w:val="265"/>
        </w:trPr>
        <w:tc>
          <w:tcPr>
            <w:tcW w:w="68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Board</w:t>
            </w: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board of directors of the Company, any committee of the board or a duly authorised person or body</w:t>
            </w:r>
          </w:p>
        </w:tc>
      </w:tr>
      <w:tr>
        <w:trPr>
          <w:trHeight w:val="234"/>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 which the board has delegated its powers under this EIP.</w:t>
            </w:r>
          </w:p>
        </w:tc>
      </w:tr>
      <w:tr>
        <w:trPr>
          <w:trHeight w:val="75"/>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tcPr>
          <w:p>
            <w:pPr>
              <w:spacing w:after="0"/>
              <w:rPr>
                <w:sz w:val="6"/>
                <w:szCs w:val="6"/>
                <w:color w:val="auto"/>
              </w:rPr>
            </w:pPr>
          </w:p>
        </w:tc>
      </w:tr>
      <w:tr>
        <w:trPr>
          <w:trHeight w:val="265"/>
        </w:trPr>
        <w:tc>
          <w:tcPr>
            <w:tcW w:w="68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Casual Employee</w:t>
            </w: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 individual who is, or who might reasonably be expected to be, engaged to work the number of hours</w:t>
            </w:r>
          </w:p>
        </w:tc>
      </w:tr>
      <w:tr>
        <w:trPr>
          <w:trHeight w:val="216"/>
        </w:trPr>
        <w:tc>
          <w:tcPr>
            <w:tcW w:w="6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that are the pro rata equivalent of 40% or more of a comparable full-time position with a Group</w:t>
            </w:r>
          </w:p>
        </w:tc>
      </w:tr>
      <w:tr>
        <w:trPr>
          <w:trHeight w:val="234"/>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Company.</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tcPr>
          <w:p>
            <w:pPr>
              <w:spacing w:after="0"/>
              <w:rPr>
                <w:sz w:val="6"/>
                <w:szCs w:val="6"/>
                <w:color w:val="auto"/>
              </w:rPr>
            </w:pPr>
          </w:p>
        </w:tc>
      </w:tr>
      <w:tr>
        <w:trPr>
          <w:trHeight w:val="261"/>
        </w:trPr>
        <w:tc>
          <w:tcPr>
            <w:tcW w:w="680" w:type="dxa"/>
            <w:vAlign w:val="bottom"/>
            <w:tcBorders>
              <w:right w:val="single" w:sz="8" w:color="auto"/>
            </w:tcBorders>
          </w:tcPr>
          <w:p>
            <w:pPr>
              <w:spacing w:after="0"/>
              <w:rPr>
                <w:sz w:val="22"/>
                <w:szCs w:val="22"/>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Change of Control</w:t>
            </w: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has the meaning given in rule 9.1(a).</w:t>
            </w:r>
          </w:p>
        </w:tc>
      </w:tr>
      <w:tr>
        <w:trPr>
          <w:trHeight w:val="238"/>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Event</w:t>
            </w:r>
          </w:p>
        </w:tc>
        <w:tc>
          <w:tcPr>
            <w:tcW w:w="7700" w:type="dxa"/>
            <w:vAlign w:val="bottom"/>
            <w:tcBorders>
              <w:right w:val="single" w:sz="8" w:color="auto"/>
            </w:tcBorders>
          </w:tcPr>
          <w:p>
            <w:pPr>
              <w:spacing w:after="0"/>
              <w:rPr>
                <w:sz w:val="20"/>
                <w:szCs w:val="20"/>
                <w:color w:val="auto"/>
              </w:rPr>
            </w:pPr>
          </w:p>
        </w:tc>
      </w:tr>
      <w:tr>
        <w:trPr>
          <w:trHeight w:val="75"/>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tcPr>
          <w:p>
            <w:pPr>
              <w:spacing w:after="0"/>
              <w:rPr>
                <w:sz w:val="6"/>
                <w:szCs w:val="6"/>
                <w:color w:val="auto"/>
              </w:rPr>
            </w:pPr>
          </w:p>
        </w:tc>
      </w:tr>
      <w:tr>
        <w:trPr>
          <w:trHeight w:val="284"/>
        </w:trPr>
        <w:tc>
          <w:tcPr>
            <w:tcW w:w="68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Telix Pharmaceuticals Limited ACN 616 620 369.</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tcPr>
          <w:p>
            <w:pPr>
              <w:spacing w:after="0"/>
              <w:rPr>
                <w:sz w:val="6"/>
                <w:szCs w:val="6"/>
                <w:color w:val="auto"/>
              </w:rPr>
            </w:pPr>
          </w:p>
        </w:tc>
      </w:tr>
      <w:tr>
        <w:trPr>
          <w:trHeight w:val="584"/>
        </w:trPr>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700" w:type="dxa"/>
            <w:vAlign w:val="bottom"/>
          </w:tcPr>
          <w:p>
            <w:pPr>
              <w:ind w:left="7060"/>
              <w:spacing w:after="0"/>
              <w:rPr>
                <w:sz w:val="20"/>
                <w:szCs w:val="20"/>
                <w:color w:val="auto"/>
              </w:rPr>
            </w:pPr>
            <w:r>
              <w:rPr>
                <w:rFonts w:ascii="Times New Roman" w:cs="Times New Roman" w:eastAsia="Times New Roman" w:hAnsi="Times New Roman"/>
                <w:sz w:val="14"/>
                <w:szCs w:val="14"/>
                <w:color w:val="7E7E7E"/>
                <w:w w:val="97"/>
              </w:rPr>
              <w:t xml:space="preserve">P a g e </w:t>
            </w:r>
            <w:r>
              <w:rPr>
                <w:rFonts w:ascii="Times New Roman" w:cs="Times New Roman" w:eastAsia="Times New Roman" w:hAnsi="Times New Roman"/>
                <w:sz w:val="14"/>
                <w:szCs w:val="14"/>
                <w:color w:val="000000"/>
                <w:w w:val="97"/>
              </w:rPr>
              <w:t>| 22</w:t>
            </w:r>
          </w:p>
        </w:tc>
      </w:tr>
      <w:tr>
        <w:trPr>
          <w:trHeight w:val="84"/>
        </w:trPr>
        <w:tc>
          <w:tcPr>
            <w:tcW w:w="680" w:type="dxa"/>
            <w:vAlign w:val="bottom"/>
            <w:tcBorders>
              <w:bottom w:val="single" w:sz="8" w:color="auto"/>
            </w:tcBorders>
          </w:tcPr>
          <w:p>
            <w:pPr>
              <w:spacing w:after="0"/>
              <w:rPr>
                <w:sz w:val="7"/>
                <w:szCs w:val="7"/>
                <w:color w:val="auto"/>
              </w:rPr>
            </w:pPr>
          </w:p>
        </w:tc>
        <w:tc>
          <w:tcPr>
            <w:tcW w:w="2860" w:type="dxa"/>
            <w:vAlign w:val="bottom"/>
            <w:tcBorders>
              <w:bottom w:val="single" w:sz="8" w:color="auto"/>
            </w:tcBorders>
          </w:tcPr>
          <w:p>
            <w:pPr>
              <w:spacing w:after="0"/>
              <w:rPr>
                <w:sz w:val="7"/>
                <w:szCs w:val="7"/>
                <w:color w:val="auto"/>
              </w:rPr>
            </w:pPr>
          </w:p>
        </w:tc>
        <w:tc>
          <w:tcPr>
            <w:tcW w:w="770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351" w:name="page352"/>
    <w:bookmarkEnd w:id="35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2880" w:type="dxa"/>
            <w:vAlign w:val="bottom"/>
            <w:tcBorders>
              <w:top w:val="single" w:sz="8" w:color="auto"/>
              <w:left w:val="single" w:sz="8" w:color="auto"/>
              <w:right w:val="single" w:sz="8" w:color="auto"/>
            </w:tcBorders>
            <w:shd w:val="clear" w:color="auto" w:fill="313D4F"/>
          </w:tcPr>
          <w:p>
            <w:pPr>
              <w:ind w:left="100"/>
              <w:spacing w:after="0"/>
              <w:rPr>
                <w:sz w:val="20"/>
                <w:szCs w:val="20"/>
                <w:color w:val="auto"/>
              </w:rPr>
            </w:pPr>
            <w:r>
              <w:rPr>
                <w:rFonts w:ascii="Times New Roman" w:cs="Times New Roman" w:eastAsia="Times New Roman" w:hAnsi="Times New Roman"/>
                <w:sz w:val="18"/>
                <w:szCs w:val="18"/>
                <w:b w:val="1"/>
                <w:bCs w:val="1"/>
                <w:color w:val="FFFFFF"/>
              </w:rPr>
              <w:t>Defined term</w:t>
            </w:r>
          </w:p>
        </w:tc>
        <w:tc>
          <w:tcPr>
            <w:tcW w:w="7700" w:type="dxa"/>
            <w:vAlign w:val="bottom"/>
            <w:tcBorders>
              <w:top w:val="single" w:sz="8" w:color="auto"/>
              <w:right w:val="single" w:sz="8" w:color="auto"/>
            </w:tcBorders>
            <w:gridSpan w:val="2"/>
            <w:shd w:val="clear" w:color="auto" w:fill="313D4F"/>
          </w:tcPr>
          <w:p>
            <w:pPr>
              <w:ind w:left="60"/>
              <w:spacing w:after="0"/>
              <w:rPr>
                <w:sz w:val="20"/>
                <w:szCs w:val="20"/>
                <w:color w:val="auto"/>
              </w:rPr>
            </w:pPr>
            <w:r>
              <w:rPr>
                <w:rFonts w:ascii="Times New Roman" w:cs="Times New Roman" w:eastAsia="Times New Roman" w:hAnsi="Times New Roman"/>
                <w:sz w:val="18"/>
                <w:szCs w:val="18"/>
                <w:b w:val="1"/>
                <w:bCs w:val="1"/>
                <w:color w:val="FFFFFF"/>
              </w:rPr>
              <w:t>Meaning</w:t>
            </w:r>
          </w:p>
        </w:tc>
      </w:tr>
      <w:tr>
        <w:trPr>
          <w:trHeight w:val="74"/>
        </w:trPr>
        <w:tc>
          <w:tcPr>
            <w:tcW w:w="2880" w:type="dxa"/>
            <w:vAlign w:val="bottom"/>
            <w:tcBorders>
              <w:left w:val="single" w:sz="8" w:color="auto"/>
              <w:bottom w:val="single" w:sz="8" w:color="auto"/>
              <w:right w:val="single" w:sz="8" w:color="auto"/>
            </w:tcBorders>
            <w:shd w:val="clear" w:color="auto" w:fill="313D4F"/>
          </w:tcPr>
          <w:p>
            <w:pPr>
              <w:spacing w:after="0"/>
              <w:rPr>
                <w:sz w:val="6"/>
                <w:szCs w:val="6"/>
                <w:color w:val="auto"/>
              </w:rPr>
            </w:pPr>
          </w:p>
        </w:tc>
        <w:tc>
          <w:tcPr>
            <w:tcW w:w="640" w:type="dxa"/>
            <w:vAlign w:val="bottom"/>
            <w:tcBorders>
              <w:bottom w:val="single" w:sz="8" w:color="auto"/>
            </w:tcBorders>
            <w:shd w:val="clear" w:color="auto" w:fill="313D4F"/>
          </w:tcPr>
          <w:p>
            <w:pPr>
              <w:spacing w:after="0"/>
              <w:rPr>
                <w:sz w:val="6"/>
                <w:szCs w:val="6"/>
                <w:color w:val="auto"/>
              </w:rPr>
            </w:pPr>
          </w:p>
        </w:tc>
        <w:tc>
          <w:tcPr>
            <w:tcW w:w="7060" w:type="dxa"/>
            <w:vAlign w:val="bottom"/>
            <w:tcBorders>
              <w:bottom w:val="single" w:sz="8" w:color="auto"/>
              <w:right w:val="single" w:sz="8" w:color="auto"/>
            </w:tcBorders>
            <w:shd w:val="clear" w:color="auto" w:fill="313D4F"/>
          </w:tcPr>
          <w:p>
            <w:pPr>
              <w:spacing w:after="0"/>
              <w:rPr>
                <w:sz w:val="6"/>
                <w:szCs w:val="6"/>
                <w:color w:val="auto"/>
              </w:rPr>
            </w:pPr>
          </w:p>
        </w:tc>
      </w:tr>
      <w:tr>
        <w:trPr>
          <w:trHeight w:val="283"/>
        </w:trPr>
        <w:tc>
          <w:tcPr>
            <w:tcW w:w="2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Contractor</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means:</w:t>
            </w:r>
          </w:p>
        </w:tc>
        <w:tc>
          <w:tcPr>
            <w:tcW w:w="7060" w:type="dxa"/>
            <w:vAlign w:val="bottom"/>
            <w:tcBorders>
              <w:right w:val="single" w:sz="8" w:color="auto"/>
            </w:tcBorders>
          </w:tcPr>
          <w:p>
            <w:pPr>
              <w:spacing w:after="0"/>
              <w:rPr>
                <w:sz w:val="24"/>
                <w:szCs w:val="24"/>
                <w:color w:val="auto"/>
              </w:rPr>
            </w:pPr>
          </w:p>
        </w:tc>
      </w:tr>
      <w:tr>
        <w:trPr>
          <w:trHeight w:val="414"/>
        </w:trPr>
        <w:tc>
          <w:tcPr>
            <w:tcW w:w="288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7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 individual with whom a Group Company has entered into a contract for the provision of</w:t>
            </w:r>
          </w:p>
        </w:tc>
      </w:tr>
      <w:tr>
        <w:trPr>
          <w:trHeight w:val="234"/>
        </w:trPr>
        <w:tc>
          <w:tcPr>
            <w:tcW w:w="2880" w:type="dxa"/>
            <w:vAlign w:val="bottom"/>
            <w:tcBorders>
              <w:left w:val="single" w:sz="8" w:color="auto"/>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7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services under which the individual performs work for a Group Company; or</w:t>
            </w:r>
          </w:p>
        </w:tc>
      </w:tr>
      <w:tr>
        <w:trPr>
          <w:trHeight w:val="414"/>
        </w:trPr>
        <w:tc>
          <w:tcPr>
            <w:tcW w:w="288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7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 company with whom a Group Company has entered into a contract for the provision of</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7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services under which an individual who is a director of the company or their spouse, performs</w:t>
            </w:r>
          </w:p>
        </w:tc>
      </w:tr>
      <w:tr>
        <w:trPr>
          <w:trHeight w:val="234"/>
        </w:trPr>
        <w:tc>
          <w:tcPr>
            <w:tcW w:w="2880" w:type="dxa"/>
            <w:vAlign w:val="bottom"/>
            <w:tcBorders>
              <w:left w:val="single" w:sz="8" w:color="auto"/>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7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work for a Group Company,</w:t>
            </w:r>
          </w:p>
        </w:tc>
      </w:tr>
      <w:tr>
        <w:trPr>
          <w:trHeight w:val="414"/>
        </w:trPr>
        <w:tc>
          <w:tcPr>
            <w:tcW w:w="2880" w:type="dxa"/>
            <w:vAlign w:val="bottom"/>
            <w:tcBorders>
              <w:left w:val="single" w:sz="8" w:color="auto"/>
              <w:right w:val="single" w:sz="8" w:color="auto"/>
            </w:tcBorders>
          </w:tcPr>
          <w:p>
            <w:pPr>
              <w:spacing w:after="0"/>
              <w:rPr>
                <w:sz w:val="24"/>
                <w:szCs w:val="24"/>
                <w:color w:val="auto"/>
              </w:rPr>
            </w:pP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where the individual who performs the work under the contract is, or might reasonably be expected to</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be, engaged to work the number of hours that are the pro rata equivalent of 40% or more of a</w:t>
            </w:r>
          </w:p>
        </w:tc>
      </w:tr>
      <w:tr>
        <w:trPr>
          <w:trHeight w:val="234"/>
        </w:trPr>
        <w:tc>
          <w:tcPr>
            <w:tcW w:w="288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comparable full-time position with a Group Company.</w:t>
            </w:r>
          </w:p>
        </w:tc>
      </w:tr>
      <w:tr>
        <w:trPr>
          <w:trHeight w:val="74"/>
        </w:trPr>
        <w:tc>
          <w:tcPr>
            <w:tcW w:w="2880" w:type="dxa"/>
            <w:vAlign w:val="bottom"/>
            <w:tcBorders>
              <w:left w:val="single" w:sz="8" w:color="auto"/>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84"/>
        </w:trPr>
        <w:tc>
          <w:tcPr>
            <w:tcW w:w="2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Control</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has the meaning given in section 50AA of the Corporations Act.</w:t>
            </w:r>
          </w:p>
        </w:tc>
      </w:tr>
      <w:tr>
        <w:trPr>
          <w:trHeight w:val="74"/>
        </w:trPr>
        <w:tc>
          <w:tcPr>
            <w:tcW w:w="2880" w:type="dxa"/>
            <w:vAlign w:val="bottom"/>
            <w:tcBorders>
              <w:left w:val="single" w:sz="8" w:color="auto"/>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83"/>
        </w:trPr>
        <w:tc>
          <w:tcPr>
            <w:tcW w:w="2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Corporations Act</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w:t>
            </w:r>
          </w:p>
        </w:tc>
      </w:tr>
      <w:tr>
        <w:trPr>
          <w:trHeight w:val="74"/>
        </w:trPr>
        <w:tc>
          <w:tcPr>
            <w:tcW w:w="2880" w:type="dxa"/>
            <w:vAlign w:val="bottom"/>
            <w:tcBorders>
              <w:left w:val="single" w:sz="8" w:color="auto"/>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84"/>
        </w:trPr>
        <w:tc>
          <w:tcPr>
            <w:tcW w:w="2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Current Market Price</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in relation to a Share:</w:t>
            </w:r>
          </w:p>
        </w:tc>
      </w:tr>
      <w:tr>
        <w:trPr>
          <w:trHeight w:val="414"/>
        </w:trPr>
        <w:tc>
          <w:tcPr>
            <w:tcW w:w="288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7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where the Company is listed, the arithmetic average of the volume weighted average market</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7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price (rounded to the nearest cent), as that term is defined in the Listing Rules, during the</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7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previous twenty trading days (or such other period as determined by the Board and specified in</w:t>
            </w:r>
          </w:p>
        </w:tc>
      </w:tr>
      <w:tr>
        <w:trPr>
          <w:trHeight w:val="234"/>
        </w:trPr>
        <w:tc>
          <w:tcPr>
            <w:tcW w:w="2880" w:type="dxa"/>
            <w:vAlign w:val="bottom"/>
            <w:tcBorders>
              <w:left w:val="single" w:sz="8" w:color="auto"/>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7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Offer); or</w:t>
            </w:r>
          </w:p>
        </w:tc>
      </w:tr>
      <w:tr>
        <w:trPr>
          <w:trHeight w:val="432"/>
        </w:trPr>
        <w:tc>
          <w:tcPr>
            <w:tcW w:w="288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7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any other calculation as determined by the Board (whether or not the Company is listed).</w:t>
            </w:r>
          </w:p>
        </w:tc>
      </w:tr>
      <w:tr>
        <w:trPr>
          <w:trHeight w:val="74"/>
        </w:trPr>
        <w:tc>
          <w:tcPr>
            <w:tcW w:w="2880" w:type="dxa"/>
            <w:vAlign w:val="bottom"/>
            <w:tcBorders>
              <w:left w:val="single" w:sz="8" w:color="auto"/>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65"/>
        </w:trPr>
        <w:tc>
          <w:tcPr>
            <w:tcW w:w="2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Deal or Dealing</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in relation to an Incentive Security or Share (as the case may be), any dealing, including but not limited</w:t>
            </w:r>
          </w:p>
        </w:tc>
      </w:tr>
      <w:tr>
        <w:trPr>
          <w:trHeight w:val="234"/>
        </w:trPr>
        <w:tc>
          <w:tcPr>
            <w:tcW w:w="2880" w:type="dxa"/>
            <w:vAlign w:val="bottom"/>
            <w:tcBorders>
              <w:left w:val="single" w:sz="8" w:color="auto"/>
              <w:right w:val="single" w:sz="8" w:color="auto"/>
            </w:tcBorders>
          </w:tcPr>
          <w:p>
            <w:pPr>
              <w:spacing w:after="0"/>
              <w:rPr>
                <w:sz w:val="20"/>
                <w:szCs w:val="20"/>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w:t>
            </w:r>
          </w:p>
        </w:tc>
        <w:tc>
          <w:tcPr>
            <w:tcW w:w="7060" w:type="dxa"/>
            <w:vAlign w:val="bottom"/>
            <w:tcBorders>
              <w:right w:val="single" w:sz="8" w:color="auto"/>
            </w:tcBorders>
          </w:tcPr>
          <w:p>
            <w:pPr>
              <w:spacing w:after="0"/>
              <w:rPr>
                <w:sz w:val="20"/>
                <w:szCs w:val="20"/>
                <w:color w:val="auto"/>
              </w:rPr>
            </w:pPr>
          </w:p>
        </w:tc>
      </w:tr>
      <w:tr>
        <w:trPr>
          <w:trHeight w:val="414"/>
        </w:trPr>
        <w:tc>
          <w:tcPr>
            <w:tcW w:w="288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7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 sale, transfer, assignment, encumbrance, option, swap, or any other alienation of all or any</w:t>
            </w:r>
          </w:p>
        </w:tc>
      </w:tr>
      <w:tr>
        <w:trPr>
          <w:trHeight w:val="234"/>
        </w:trPr>
        <w:tc>
          <w:tcPr>
            <w:tcW w:w="2880" w:type="dxa"/>
            <w:vAlign w:val="bottom"/>
            <w:tcBorders>
              <w:left w:val="single" w:sz="8" w:color="auto"/>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7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part of the rights attaching to the Incentive Security or Share;</w:t>
            </w:r>
          </w:p>
        </w:tc>
      </w:tr>
      <w:tr>
        <w:trPr>
          <w:trHeight w:val="432"/>
        </w:trPr>
        <w:tc>
          <w:tcPr>
            <w:tcW w:w="288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7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any attempt to do any of the actions set out in paragraph (a) above; and</w:t>
            </w:r>
          </w:p>
        </w:tc>
      </w:tr>
      <w:tr>
        <w:trPr>
          <w:trHeight w:val="414"/>
        </w:trPr>
        <w:tc>
          <w:tcPr>
            <w:tcW w:w="288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w:t>
            </w:r>
          </w:p>
        </w:tc>
        <w:tc>
          <w:tcPr>
            <w:tcW w:w="7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any hedging (including any dealing with a derivative instrument intended to “lock in” a profit</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7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relating to an Incentive Security), and any other transactions in financial products that operate</w:t>
            </w:r>
          </w:p>
        </w:tc>
      </w:tr>
      <w:tr>
        <w:trPr>
          <w:trHeight w:val="234"/>
        </w:trPr>
        <w:tc>
          <w:tcPr>
            <w:tcW w:w="2880" w:type="dxa"/>
            <w:vAlign w:val="bottom"/>
            <w:tcBorders>
              <w:left w:val="single" w:sz="8" w:color="auto"/>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7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 limit the economic risk associated with holding an Incentive Security.</w:t>
            </w:r>
          </w:p>
        </w:tc>
      </w:tr>
      <w:tr>
        <w:trPr>
          <w:trHeight w:val="74"/>
        </w:trPr>
        <w:tc>
          <w:tcPr>
            <w:tcW w:w="2880" w:type="dxa"/>
            <w:vAlign w:val="bottom"/>
            <w:tcBorders>
              <w:left w:val="single" w:sz="8" w:color="auto"/>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84"/>
        </w:trPr>
        <w:tc>
          <w:tcPr>
            <w:tcW w:w="2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 director of the Company.</w:t>
            </w:r>
          </w:p>
        </w:tc>
      </w:tr>
      <w:tr>
        <w:trPr>
          <w:trHeight w:val="74"/>
        </w:trPr>
        <w:tc>
          <w:tcPr>
            <w:tcW w:w="2880" w:type="dxa"/>
            <w:vAlign w:val="bottom"/>
            <w:tcBorders>
              <w:left w:val="single" w:sz="8" w:color="auto"/>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84"/>
        </w:trPr>
        <w:tc>
          <w:tcPr>
            <w:tcW w:w="2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EIP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Plan</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the Telix Pharmaceuticals Limited Equity Incentive Plan as set out in these Rules.</w:t>
            </w:r>
          </w:p>
        </w:tc>
      </w:tr>
      <w:tr>
        <w:trPr>
          <w:trHeight w:val="74"/>
        </w:trPr>
        <w:tc>
          <w:tcPr>
            <w:tcW w:w="288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7060" w:type="dxa"/>
            <w:vAlign w:val="bottom"/>
            <w:tcBorders>
              <w:bottom w:val="single" w:sz="8" w:color="auto"/>
              <w:right w:val="single" w:sz="8" w:color="auto"/>
            </w:tcBorders>
          </w:tcPr>
          <w:p>
            <w:pPr>
              <w:spacing w:after="0"/>
              <w:rPr>
                <w:sz w:val="6"/>
                <w:szCs w:val="6"/>
                <w:color w:val="auto"/>
              </w:rPr>
            </w:pPr>
          </w:p>
        </w:tc>
      </w:tr>
    </w:tbl>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66675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0" w:right="339" w:bottom="1440" w:gutter="0" w:footer="0" w:header="0"/>
        </w:sectPr>
      </w:pPr>
    </w:p>
    <w:bookmarkStart w:id="352" w:name="page353"/>
    <w:bookmarkEnd w:id="352"/>
    <w:tbl>
      <w:tblPr>
        <w:tblLayout w:type="fixed"/>
        <w:tblInd w:w="0" w:type="dxa"/>
        <w:tblCellMar>
          <w:top w:w="0" w:type="dxa"/>
          <w:left w:w="0" w:type="dxa"/>
          <w:bottom w:w="0" w:type="dxa"/>
          <w:right w:w="0" w:type="dxa"/>
        </w:tblCellMar>
      </w:tblPr>
      <w:tr>
        <w:trPr>
          <w:trHeight w:val="310"/>
        </w:trPr>
        <w:tc>
          <w:tcPr>
            <w:tcW w:w="680" w:type="dxa"/>
            <w:vAlign w:val="bottom"/>
            <w:tcBorders>
              <w:right w:val="single" w:sz="8" w:color="auto"/>
            </w:tcBorders>
          </w:tcPr>
          <w:p>
            <w:pPr>
              <w:spacing w:after="0"/>
              <w:rPr>
                <w:sz w:val="24"/>
                <w:szCs w:val="24"/>
                <w:color w:val="auto"/>
              </w:rPr>
            </w:pPr>
          </w:p>
        </w:tc>
        <w:tc>
          <w:tcPr>
            <w:tcW w:w="2860" w:type="dxa"/>
            <w:vAlign w:val="bottom"/>
            <w:tcBorders>
              <w:top w:val="single" w:sz="8" w:color="auto"/>
              <w:right w:val="single" w:sz="8" w:color="auto"/>
            </w:tcBorders>
            <w:shd w:val="clear" w:color="auto" w:fill="313D4F"/>
          </w:tcPr>
          <w:p>
            <w:pPr>
              <w:ind w:left="80"/>
              <w:spacing w:after="0"/>
              <w:rPr>
                <w:sz w:val="20"/>
                <w:szCs w:val="20"/>
                <w:color w:val="auto"/>
              </w:rPr>
            </w:pPr>
            <w:r>
              <w:rPr>
                <w:rFonts w:ascii="Times New Roman" w:cs="Times New Roman" w:eastAsia="Times New Roman" w:hAnsi="Times New Roman"/>
                <w:sz w:val="18"/>
                <w:szCs w:val="18"/>
                <w:b w:val="1"/>
                <w:bCs w:val="1"/>
                <w:color w:val="FFFFFF"/>
              </w:rPr>
              <w:t>Defined term</w:t>
            </w:r>
          </w:p>
        </w:tc>
        <w:tc>
          <w:tcPr>
            <w:tcW w:w="7700" w:type="dxa"/>
            <w:vAlign w:val="bottom"/>
            <w:tcBorders>
              <w:top w:val="single" w:sz="8" w:color="auto"/>
              <w:right w:val="single" w:sz="8" w:color="auto"/>
            </w:tcBorders>
            <w:gridSpan w:val="2"/>
            <w:shd w:val="clear" w:color="auto" w:fill="313D4F"/>
          </w:tcPr>
          <w:p>
            <w:pPr>
              <w:ind w:left="60"/>
              <w:spacing w:after="0"/>
              <w:rPr>
                <w:sz w:val="20"/>
                <w:szCs w:val="20"/>
                <w:color w:val="auto"/>
              </w:rPr>
            </w:pPr>
            <w:r>
              <w:rPr>
                <w:rFonts w:ascii="Times New Roman" w:cs="Times New Roman" w:eastAsia="Times New Roman" w:hAnsi="Times New Roman"/>
                <w:sz w:val="18"/>
                <w:szCs w:val="18"/>
                <w:b w:val="1"/>
                <w:bCs w:val="1"/>
                <w:color w:val="FFFFFF"/>
              </w:rPr>
              <w:t>Meaning</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shd w:val="clear" w:color="auto" w:fill="313D4F"/>
          </w:tcPr>
          <w:p>
            <w:pPr>
              <w:spacing w:after="0"/>
              <w:rPr>
                <w:sz w:val="6"/>
                <w:szCs w:val="6"/>
                <w:color w:val="auto"/>
              </w:rPr>
            </w:pPr>
          </w:p>
        </w:tc>
        <w:tc>
          <w:tcPr>
            <w:tcW w:w="640" w:type="dxa"/>
            <w:vAlign w:val="bottom"/>
            <w:tcBorders>
              <w:bottom w:val="single" w:sz="8" w:color="auto"/>
            </w:tcBorders>
            <w:shd w:val="clear" w:color="auto" w:fill="313D4F"/>
          </w:tcPr>
          <w:p>
            <w:pPr>
              <w:spacing w:after="0"/>
              <w:rPr>
                <w:sz w:val="6"/>
                <w:szCs w:val="6"/>
                <w:color w:val="auto"/>
              </w:rPr>
            </w:pPr>
          </w:p>
        </w:tc>
        <w:tc>
          <w:tcPr>
            <w:tcW w:w="7060" w:type="dxa"/>
            <w:vAlign w:val="bottom"/>
            <w:tcBorders>
              <w:bottom w:val="single" w:sz="8" w:color="auto"/>
              <w:right w:val="single" w:sz="8" w:color="auto"/>
            </w:tcBorders>
            <w:shd w:val="clear" w:color="auto" w:fill="313D4F"/>
          </w:tcPr>
          <w:p>
            <w:pPr>
              <w:spacing w:after="0"/>
              <w:rPr>
                <w:sz w:val="6"/>
                <w:szCs w:val="6"/>
                <w:color w:val="auto"/>
              </w:rPr>
            </w:pPr>
          </w:p>
        </w:tc>
      </w:tr>
      <w:tr>
        <w:trPr>
          <w:trHeight w:val="283"/>
        </w:trPr>
        <w:tc>
          <w:tcPr>
            <w:tcW w:w="68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Eligible Employee</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means:</w:t>
            </w:r>
          </w:p>
        </w:tc>
        <w:tc>
          <w:tcPr>
            <w:tcW w:w="7060" w:type="dxa"/>
            <w:vAlign w:val="bottom"/>
            <w:tcBorders>
              <w:right w:val="single" w:sz="8" w:color="auto"/>
            </w:tcBorders>
          </w:tcPr>
          <w:p>
            <w:pPr>
              <w:spacing w:after="0"/>
              <w:rPr>
                <w:sz w:val="24"/>
                <w:szCs w:val="24"/>
                <w:color w:val="auto"/>
              </w:rPr>
            </w:pPr>
          </w:p>
        </w:tc>
      </w:tr>
      <w:tr>
        <w:trPr>
          <w:trHeight w:val="414"/>
        </w:trPr>
        <w:tc>
          <w:tcPr>
            <w:tcW w:w="68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7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 full time or part time employee of a Group Company (including a Director employed in an</w:t>
            </w:r>
          </w:p>
        </w:tc>
      </w:tr>
      <w:tr>
        <w:trPr>
          <w:trHeight w:val="234"/>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7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executive capacity);</w:t>
            </w:r>
          </w:p>
        </w:tc>
      </w:tr>
      <w:tr>
        <w:trPr>
          <w:trHeight w:val="432"/>
        </w:trPr>
        <w:tc>
          <w:tcPr>
            <w:tcW w:w="68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7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 non-executive Director of a Group Company;</w:t>
            </w:r>
          </w:p>
        </w:tc>
      </w:tr>
      <w:tr>
        <w:trPr>
          <w:trHeight w:val="432"/>
        </w:trPr>
        <w:tc>
          <w:tcPr>
            <w:tcW w:w="68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w:t>
            </w:r>
          </w:p>
        </w:tc>
        <w:tc>
          <w:tcPr>
            <w:tcW w:w="7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 Casual Employee; or</w:t>
            </w:r>
          </w:p>
        </w:tc>
      </w:tr>
      <w:tr>
        <w:trPr>
          <w:trHeight w:val="432"/>
        </w:trPr>
        <w:tc>
          <w:tcPr>
            <w:tcW w:w="68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w:t>
            </w:r>
          </w:p>
        </w:tc>
        <w:tc>
          <w:tcPr>
            <w:tcW w:w="7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 Contractor.</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65"/>
        </w:trPr>
        <w:tc>
          <w:tcPr>
            <w:tcW w:w="68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the amount payable to exercise an Option following Vesting as set out in an Offer (as adjusted or</w:t>
            </w:r>
          </w:p>
        </w:tc>
      </w:tr>
      <w:tr>
        <w:trPr>
          <w:trHeight w:val="234"/>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amended in accordance with these Rules).</w:t>
            </w:r>
          </w:p>
        </w:tc>
      </w:tr>
      <w:tr>
        <w:trPr>
          <w:trHeight w:val="75"/>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61"/>
        </w:trPr>
        <w:tc>
          <w:tcPr>
            <w:tcW w:w="680" w:type="dxa"/>
            <w:vAlign w:val="bottom"/>
            <w:tcBorders>
              <w:right w:val="single" w:sz="8" w:color="auto"/>
            </w:tcBorders>
          </w:tcPr>
          <w:p>
            <w:pPr>
              <w:spacing w:after="0"/>
              <w:rPr>
                <w:sz w:val="22"/>
                <w:szCs w:val="22"/>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 material misstatement or omission in the financial statements of a Group Company or any other</w:t>
            </w:r>
          </w:p>
        </w:tc>
      </w:tr>
      <w:tr>
        <w:trPr>
          <w:trHeight w:val="216"/>
        </w:trPr>
        <w:tc>
          <w:tcPr>
            <w:tcW w:w="6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Misstatement</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circumstances or events which, in the opinion of the Board, may, or are likely to, affect the Group’s</w:t>
            </w:r>
          </w:p>
        </w:tc>
      </w:tr>
      <w:tr>
        <w:trPr>
          <w:trHeight w:val="220"/>
        </w:trPr>
        <w:tc>
          <w:tcPr>
            <w:tcW w:w="68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Circumstance</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financial soundness or require re-statement of the Group’s financial accounts, including, without</w:t>
            </w:r>
          </w:p>
        </w:tc>
      </w:tr>
      <w:tr>
        <w:trPr>
          <w:trHeight w:val="234"/>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limitation, as a result of misrepresentations, errors, omissions or negligence.</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83"/>
        </w:trPr>
        <w:tc>
          <w:tcPr>
            <w:tcW w:w="68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the Company and each Related Body Corporate of the Company.</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84"/>
        </w:trPr>
        <w:tc>
          <w:tcPr>
            <w:tcW w:w="68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Group Company</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 member of the Group.</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83"/>
        </w:trPr>
        <w:tc>
          <w:tcPr>
            <w:tcW w:w="68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Incentive Security</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 Restricted Share, Right or Option (as the case may be).</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65"/>
        </w:trPr>
        <w:tc>
          <w:tcPr>
            <w:tcW w:w="68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Listing Rules</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the official Listing Rules of the ASX and any other exchange on which the Company is listed as they</w:t>
            </w:r>
          </w:p>
        </w:tc>
      </w:tr>
      <w:tr>
        <w:trPr>
          <w:trHeight w:val="234"/>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apply to the Company from time to time.</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61"/>
        </w:trPr>
        <w:tc>
          <w:tcPr>
            <w:tcW w:w="680" w:type="dxa"/>
            <w:vAlign w:val="bottom"/>
            <w:tcBorders>
              <w:right w:val="single" w:sz="8" w:color="auto"/>
            </w:tcBorders>
          </w:tcPr>
          <w:p>
            <w:pPr>
              <w:spacing w:after="0"/>
              <w:rPr>
                <w:sz w:val="22"/>
                <w:szCs w:val="22"/>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Notional Exercise</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has the meaning given in rule 2.5(b).</w:t>
            </w:r>
          </w:p>
        </w:tc>
      </w:tr>
      <w:tr>
        <w:trPr>
          <w:trHeight w:val="238"/>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640" w:type="dxa"/>
            <w:vAlign w:val="bottom"/>
          </w:tcPr>
          <w:p>
            <w:pPr>
              <w:spacing w:after="0"/>
              <w:rPr>
                <w:sz w:val="20"/>
                <w:szCs w:val="20"/>
                <w:color w:val="auto"/>
              </w:rPr>
            </w:pPr>
          </w:p>
        </w:tc>
        <w:tc>
          <w:tcPr>
            <w:tcW w:w="7060" w:type="dxa"/>
            <w:vAlign w:val="bottom"/>
            <w:tcBorders>
              <w:right w:val="single" w:sz="8" w:color="auto"/>
            </w:tcBorders>
          </w:tcPr>
          <w:p>
            <w:pPr>
              <w:spacing w:after="0"/>
              <w:rPr>
                <w:sz w:val="20"/>
                <w:szCs w:val="20"/>
                <w:color w:val="auto"/>
              </w:rPr>
            </w:pP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65"/>
        </w:trPr>
        <w:tc>
          <w:tcPr>
            <w:tcW w:w="68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Offer</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an invitation to an Eligible Employee made by the Board under rule 1.1 to apply for, participate in, or</w:t>
            </w:r>
          </w:p>
        </w:tc>
      </w:tr>
      <w:tr>
        <w:trPr>
          <w:trHeight w:val="234"/>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receive (as applicable), a grant of, Incentive Securities.</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65"/>
        </w:trPr>
        <w:tc>
          <w:tcPr>
            <w:tcW w:w="68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an entitlement to receive a Share (or, in certain circumstances, to a cash payment in lieu of a Share)</w:t>
            </w:r>
          </w:p>
        </w:tc>
      </w:tr>
      <w:tr>
        <w:trPr>
          <w:trHeight w:val="216"/>
        </w:trPr>
        <w:tc>
          <w:tcPr>
            <w:tcW w:w="6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subject to satisfaction of applicable conditions (including any Vesting Condition) and compliance with</w:t>
            </w:r>
          </w:p>
        </w:tc>
      </w:tr>
      <w:tr>
        <w:trPr>
          <w:trHeight w:val="234"/>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the applicable exercise procedure (including payment of any applicable Exercise Price).</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65"/>
        </w:trPr>
        <w:tc>
          <w:tcPr>
            <w:tcW w:w="68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an Eligible Employee who has been allocated an Incentive Security or Share under the terms of this EIP</w:t>
            </w:r>
          </w:p>
        </w:tc>
      </w:tr>
      <w:tr>
        <w:trPr>
          <w:trHeight w:val="234"/>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from time to time.</w:t>
            </w:r>
          </w:p>
        </w:tc>
      </w:tr>
      <w:tr>
        <w:trPr>
          <w:trHeight w:val="75"/>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61"/>
        </w:trPr>
        <w:tc>
          <w:tcPr>
            <w:tcW w:w="680" w:type="dxa"/>
            <w:vAlign w:val="bottom"/>
            <w:tcBorders>
              <w:right w:val="single" w:sz="8" w:color="auto"/>
            </w:tcBorders>
          </w:tcPr>
          <w:p>
            <w:pPr>
              <w:spacing w:after="0"/>
              <w:rPr>
                <w:sz w:val="22"/>
                <w:szCs w:val="22"/>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Related Body</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has the meaning given in section 50 of the Corporations Act.</w:t>
            </w:r>
          </w:p>
        </w:tc>
      </w:tr>
      <w:tr>
        <w:trPr>
          <w:trHeight w:val="238"/>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640" w:type="dxa"/>
            <w:vAlign w:val="bottom"/>
          </w:tcPr>
          <w:p>
            <w:pPr>
              <w:spacing w:after="0"/>
              <w:rPr>
                <w:sz w:val="20"/>
                <w:szCs w:val="20"/>
                <w:color w:val="auto"/>
              </w:rPr>
            </w:pPr>
          </w:p>
        </w:tc>
        <w:tc>
          <w:tcPr>
            <w:tcW w:w="7060" w:type="dxa"/>
            <w:vAlign w:val="bottom"/>
            <w:tcBorders>
              <w:right w:val="single" w:sz="8" w:color="auto"/>
            </w:tcBorders>
          </w:tcPr>
          <w:p>
            <w:pPr>
              <w:spacing w:after="0"/>
              <w:rPr>
                <w:sz w:val="20"/>
                <w:szCs w:val="20"/>
                <w:color w:val="auto"/>
              </w:rPr>
            </w:pP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65"/>
        </w:trPr>
        <w:tc>
          <w:tcPr>
            <w:tcW w:w="68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Restricted Share</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 Share allocated in accordance with rule 4.1 that is subject to restrictions on Dealing, Vesting</w:t>
            </w:r>
          </w:p>
        </w:tc>
      </w:tr>
      <w:tr>
        <w:trPr>
          <w:trHeight w:val="234"/>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Conditions and/or other restrictions or conditions.</w:t>
            </w:r>
          </w:p>
        </w:tc>
      </w:tr>
      <w:tr>
        <w:trPr>
          <w:trHeight w:val="75"/>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7060" w:type="dxa"/>
            <w:vAlign w:val="bottom"/>
            <w:tcBorders>
              <w:bottom w:val="single" w:sz="8" w:color="auto"/>
              <w:right w:val="single" w:sz="8" w:color="auto"/>
            </w:tcBorders>
          </w:tcPr>
          <w:p>
            <w:pPr>
              <w:spacing w:after="0"/>
              <w:rPr>
                <w:sz w:val="6"/>
                <w:szCs w:val="6"/>
                <w:color w:val="auto"/>
              </w:rPr>
            </w:pPr>
          </w:p>
        </w:tc>
      </w:tr>
      <w:tr>
        <w:trPr>
          <w:trHeight w:val="584"/>
        </w:trPr>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60" w:type="dxa"/>
            <w:vAlign w:val="bottom"/>
          </w:tcPr>
          <w:p>
            <w:pPr>
              <w:ind w:left="6420"/>
              <w:spacing w:after="0"/>
              <w:rPr>
                <w:sz w:val="20"/>
                <w:szCs w:val="20"/>
                <w:color w:val="auto"/>
              </w:rPr>
            </w:pPr>
            <w:r>
              <w:rPr>
                <w:rFonts w:ascii="Times New Roman" w:cs="Times New Roman" w:eastAsia="Times New Roman" w:hAnsi="Times New Roman"/>
                <w:sz w:val="14"/>
                <w:szCs w:val="14"/>
                <w:color w:val="7E7E7E"/>
                <w:w w:val="97"/>
              </w:rPr>
              <w:t xml:space="preserve">P a g e </w:t>
            </w:r>
            <w:r>
              <w:rPr>
                <w:rFonts w:ascii="Times New Roman" w:cs="Times New Roman" w:eastAsia="Times New Roman" w:hAnsi="Times New Roman"/>
                <w:sz w:val="14"/>
                <w:szCs w:val="14"/>
                <w:color w:val="000000"/>
                <w:w w:val="97"/>
              </w:rPr>
              <w:t>| 24</w:t>
            </w:r>
          </w:p>
        </w:tc>
      </w:tr>
      <w:tr>
        <w:trPr>
          <w:trHeight w:val="84"/>
        </w:trPr>
        <w:tc>
          <w:tcPr>
            <w:tcW w:w="680" w:type="dxa"/>
            <w:vAlign w:val="bottom"/>
            <w:tcBorders>
              <w:bottom w:val="single" w:sz="8" w:color="auto"/>
            </w:tcBorders>
          </w:tcPr>
          <w:p>
            <w:pPr>
              <w:spacing w:after="0"/>
              <w:rPr>
                <w:sz w:val="7"/>
                <w:szCs w:val="7"/>
                <w:color w:val="auto"/>
              </w:rPr>
            </w:pPr>
          </w:p>
        </w:tc>
        <w:tc>
          <w:tcPr>
            <w:tcW w:w="28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706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20" w:right="339" w:bottom="1440" w:gutter="0" w:footer="0" w:header="0"/>
        </w:sectPr>
      </w:pPr>
    </w:p>
    <w:bookmarkStart w:id="353" w:name="page354"/>
    <w:bookmarkEnd w:id="3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680" w:type="dxa"/>
            <w:vAlign w:val="bottom"/>
            <w:tcBorders>
              <w:right w:val="single" w:sz="8" w:color="auto"/>
            </w:tcBorders>
          </w:tcPr>
          <w:p>
            <w:pPr>
              <w:spacing w:after="0"/>
              <w:rPr>
                <w:sz w:val="24"/>
                <w:szCs w:val="24"/>
                <w:color w:val="auto"/>
              </w:rPr>
            </w:pPr>
          </w:p>
        </w:tc>
        <w:tc>
          <w:tcPr>
            <w:tcW w:w="2860" w:type="dxa"/>
            <w:vAlign w:val="bottom"/>
            <w:tcBorders>
              <w:top w:val="single" w:sz="8" w:color="auto"/>
              <w:right w:val="single" w:sz="8" w:color="auto"/>
            </w:tcBorders>
            <w:shd w:val="clear" w:color="auto" w:fill="313D4F"/>
          </w:tcPr>
          <w:p>
            <w:pPr>
              <w:ind w:left="80"/>
              <w:spacing w:after="0"/>
              <w:rPr>
                <w:sz w:val="20"/>
                <w:szCs w:val="20"/>
                <w:color w:val="auto"/>
              </w:rPr>
            </w:pPr>
            <w:r>
              <w:rPr>
                <w:rFonts w:ascii="Times New Roman" w:cs="Times New Roman" w:eastAsia="Times New Roman" w:hAnsi="Times New Roman"/>
                <w:sz w:val="18"/>
                <w:szCs w:val="18"/>
                <w:b w:val="1"/>
                <w:bCs w:val="1"/>
                <w:color w:val="FFFFFF"/>
              </w:rPr>
              <w:t>Defined term</w:t>
            </w:r>
          </w:p>
        </w:tc>
        <w:tc>
          <w:tcPr>
            <w:tcW w:w="7700" w:type="dxa"/>
            <w:vAlign w:val="bottom"/>
            <w:tcBorders>
              <w:top w:val="single" w:sz="8" w:color="auto"/>
              <w:right w:val="single" w:sz="8" w:color="auto"/>
            </w:tcBorders>
            <w:gridSpan w:val="2"/>
            <w:shd w:val="clear" w:color="auto" w:fill="313D4F"/>
          </w:tcPr>
          <w:p>
            <w:pPr>
              <w:ind w:left="60"/>
              <w:spacing w:after="0"/>
              <w:rPr>
                <w:sz w:val="20"/>
                <w:szCs w:val="20"/>
                <w:color w:val="auto"/>
              </w:rPr>
            </w:pPr>
            <w:r>
              <w:rPr>
                <w:rFonts w:ascii="Times New Roman" w:cs="Times New Roman" w:eastAsia="Times New Roman" w:hAnsi="Times New Roman"/>
                <w:sz w:val="18"/>
                <w:szCs w:val="18"/>
                <w:b w:val="1"/>
                <w:bCs w:val="1"/>
                <w:color w:val="FFFFFF"/>
              </w:rPr>
              <w:t>Meaning</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shd w:val="clear" w:color="auto" w:fill="313D4F"/>
          </w:tcPr>
          <w:p>
            <w:pPr>
              <w:spacing w:after="0"/>
              <w:rPr>
                <w:sz w:val="6"/>
                <w:szCs w:val="6"/>
                <w:color w:val="auto"/>
              </w:rPr>
            </w:pPr>
          </w:p>
        </w:tc>
        <w:tc>
          <w:tcPr>
            <w:tcW w:w="7700" w:type="dxa"/>
            <w:vAlign w:val="bottom"/>
            <w:tcBorders>
              <w:bottom w:val="single" w:sz="8" w:color="auto"/>
              <w:right w:val="single" w:sz="8" w:color="auto"/>
            </w:tcBorders>
            <w:gridSpan w:val="2"/>
            <w:shd w:val="clear" w:color="auto" w:fill="313D4F"/>
          </w:tcPr>
          <w:p>
            <w:pPr>
              <w:spacing w:after="0"/>
              <w:rPr>
                <w:sz w:val="6"/>
                <w:szCs w:val="6"/>
                <w:color w:val="auto"/>
              </w:rPr>
            </w:pPr>
          </w:p>
        </w:tc>
      </w:tr>
      <w:tr>
        <w:trPr>
          <w:trHeight w:val="265"/>
        </w:trPr>
        <w:tc>
          <w:tcPr>
            <w:tcW w:w="68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Right</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an entitlement to a Share (or, in certain circumstances, to a cash payment in lieu of a Share) subject to</w:t>
            </w:r>
          </w:p>
        </w:tc>
      </w:tr>
      <w:tr>
        <w:trPr>
          <w:trHeight w:val="216"/>
        </w:trPr>
        <w:tc>
          <w:tcPr>
            <w:tcW w:w="6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satisfaction of applicable conditions (including any Vesting Condition), including a Share Appreciation</w:t>
            </w:r>
          </w:p>
        </w:tc>
      </w:tr>
      <w:tr>
        <w:trPr>
          <w:trHeight w:val="234"/>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Right (in which case the entitlement may be to a part of a Share).</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83"/>
        </w:trPr>
        <w:tc>
          <w:tcPr>
            <w:tcW w:w="68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Rules</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the terms and conditions of the EIP as set out in this document as amended from time to time.</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84"/>
        </w:trPr>
        <w:tc>
          <w:tcPr>
            <w:tcW w:w="68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SARs Value</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has the meaning given in rule 2.5(d).</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61"/>
        </w:trPr>
        <w:tc>
          <w:tcPr>
            <w:tcW w:w="680" w:type="dxa"/>
            <w:vAlign w:val="bottom"/>
            <w:tcBorders>
              <w:right w:val="single" w:sz="8" w:color="auto"/>
            </w:tcBorders>
          </w:tcPr>
          <w:p>
            <w:pPr>
              <w:spacing w:after="0"/>
              <w:rPr>
                <w:sz w:val="22"/>
                <w:szCs w:val="22"/>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Securities Dealing</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the Company’s Policy for Dealing in Securities (as amended or replaced from time to time) or such</w:t>
            </w:r>
          </w:p>
        </w:tc>
      </w:tr>
      <w:tr>
        <w:trPr>
          <w:trHeight w:val="238"/>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Policy</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other Group policy in relation to trading or Dealing in Shares as applicable from time to time.</w:t>
            </w:r>
          </w:p>
        </w:tc>
      </w:tr>
      <w:tr>
        <w:trPr>
          <w:trHeight w:val="75"/>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65"/>
        </w:trPr>
        <w:tc>
          <w:tcPr>
            <w:tcW w:w="68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 fully paid ordinary share in the capital of the Company (where a reference to a Share includes a</w:t>
            </w:r>
          </w:p>
        </w:tc>
      </w:tr>
      <w:tr>
        <w:trPr>
          <w:trHeight w:val="234"/>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reference to a Restricted Share).</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61"/>
        </w:trPr>
        <w:tc>
          <w:tcPr>
            <w:tcW w:w="680" w:type="dxa"/>
            <w:vAlign w:val="bottom"/>
            <w:tcBorders>
              <w:right w:val="single" w:sz="8" w:color="auto"/>
            </w:tcBorders>
          </w:tcPr>
          <w:p>
            <w:pPr>
              <w:spacing w:after="0"/>
              <w:rPr>
                <w:sz w:val="22"/>
                <w:szCs w:val="22"/>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Share Appreciation</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 Right granted under rule 2.5.</w:t>
            </w:r>
          </w:p>
        </w:tc>
      </w:tr>
      <w:tr>
        <w:trPr>
          <w:trHeight w:val="238"/>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Right</w:t>
            </w:r>
          </w:p>
        </w:tc>
        <w:tc>
          <w:tcPr>
            <w:tcW w:w="480" w:type="dxa"/>
            <w:vAlign w:val="bottom"/>
          </w:tcPr>
          <w:p>
            <w:pPr>
              <w:spacing w:after="0"/>
              <w:rPr>
                <w:sz w:val="20"/>
                <w:szCs w:val="20"/>
                <w:color w:val="auto"/>
              </w:rPr>
            </w:pPr>
          </w:p>
        </w:tc>
        <w:tc>
          <w:tcPr>
            <w:tcW w:w="7220" w:type="dxa"/>
            <w:vAlign w:val="bottom"/>
            <w:tcBorders>
              <w:right w:val="single" w:sz="8" w:color="auto"/>
            </w:tcBorders>
          </w:tcPr>
          <w:p>
            <w:pPr>
              <w:spacing w:after="0"/>
              <w:rPr>
                <w:sz w:val="20"/>
                <w:szCs w:val="20"/>
                <w:color w:val="auto"/>
              </w:rPr>
            </w:pP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83"/>
        </w:trPr>
        <w:tc>
          <w:tcPr>
            <w:tcW w:w="68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Takeover Bid</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has the meaning given in section 9 of the Corporations Act.</w:t>
            </w:r>
          </w:p>
        </w:tc>
      </w:tr>
      <w:tr>
        <w:trPr>
          <w:trHeight w:val="75"/>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65"/>
        </w:trPr>
        <w:tc>
          <w:tcPr>
            <w:tcW w:w="68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Tax</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Includes any tax, levy, impost, GST, deduction, charge, rate, contribution, duty or withholding which is</w:t>
            </w:r>
          </w:p>
        </w:tc>
      </w:tr>
      <w:tr>
        <w:trPr>
          <w:trHeight w:val="216"/>
        </w:trPr>
        <w:tc>
          <w:tcPr>
            <w:tcW w:w="6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assessed (or deemed to be assessed), levied, imposed or made by any government or any governmental,</w:t>
            </w:r>
          </w:p>
        </w:tc>
      </w:tr>
      <w:tr>
        <w:trPr>
          <w:trHeight w:val="216"/>
        </w:trPr>
        <w:tc>
          <w:tcPr>
            <w:tcW w:w="6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semi-governmental or judicial entity or authority together with any interest, penalty, fine, charge, fee or</w:t>
            </w:r>
          </w:p>
        </w:tc>
      </w:tr>
      <w:tr>
        <w:trPr>
          <w:trHeight w:val="216"/>
        </w:trPr>
        <w:tc>
          <w:tcPr>
            <w:tcW w:w="6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other amount assessed (or deemed to be assessed) levied, imposed or made on or in respect of any or all</w:t>
            </w:r>
          </w:p>
        </w:tc>
      </w:tr>
      <w:tr>
        <w:trPr>
          <w:trHeight w:val="234"/>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of the foregoing.</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83"/>
        </w:trPr>
        <w:tc>
          <w:tcPr>
            <w:tcW w:w="68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SARs Value</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Has the meaning given in rule 2.5(g)(ii)</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65"/>
        </w:trPr>
        <w:tc>
          <w:tcPr>
            <w:tcW w:w="68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Trust Deed</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in relation to an Offer, any trust deed nominated by the Company as the Trust Deed for the purposes of</w:t>
            </w:r>
          </w:p>
        </w:tc>
      </w:tr>
      <w:tr>
        <w:trPr>
          <w:trHeight w:val="234"/>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the Offer, as amended from time to time.</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84"/>
        </w:trPr>
        <w:tc>
          <w:tcPr>
            <w:tcW w:w="68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the trustee under the Trust Deed.</w:t>
            </w:r>
          </w:p>
        </w:tc>
      </w:tr>
      <w:tr>
        <w:trPr>
          <w:trHeight w:val="75"/>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gridSpan w:val="2"/>
          </w:tcPr>
          <w:p>
            <w:pPr>
              <w:spacing w:after="0"/>
              <w:rPr>
                <w:sz w:val="6"/>
                <w:szCs w:val="6"/>
                <w:color w:val="auto"/>
              </w:rPr>
            </w:pPr>
          </w:p>
        </w:tc>
      </w:tr>
      <w:tr>
        <w:trPr>
          <w:trHeight w:val="283"/>
        </w:trPr>
        <w:tc>
          <w:tcPr>
            <w:tcW w:w="68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Vest or Vesting</w:t>
            </w: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the process by which the holder of an Incentive Security becomes entitled to:</w:t>
            </w:r>
          </w:p>
        </w:tc>
      </w:tr>
      <w:tr>
        <w:trPr>
          <w:trHeight w:val="414"/>
        </w:trPr>
        <w:tc>
          <w:tcPr>
            <w:tcW w:w="68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72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 the case of a Right, exercise the Right and be allocated a Share in accordance with rules 2.2</w:t>
            </w:r>
          </w:p>
        </w:tc>
      </w:tr>
      <w:tr>
        <w:trPr>
          <w:trHeight w:val="234"/>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2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and 2.3;</w:t>
            </w:r>
          </w:p>
        </w:tc>
      </w:tr>
      <w:tr>
        <w:trPr>
          <w:trHeight w:val="414"/>
        </w:trPr>
        <w:tc>
          <w:tcPr>
            <w:tcW w:w="68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72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 the case of an Option, exercise the Option and be allocated a Share in accordance with rule</w:t>
            </w:r>
          </w:p>
        </w:tc>
      </w:tr>
      <w:tr>
        <w:trPr>
          <w:trHeight w:val="234"/>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2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3.2 and 3.3;</w:t>
            </w:r>
          </w:p>
        </w:tc>
      </w:tr>
      <w:tr>
        <w:trPr>
          <w:trHeight w:val="414"/>
        </w:trPr>
        <w:tc>
          <w:tcPr>
            <w:tcW w:w="68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w:t>
            </w:r>
          </w:p>
        </w:tc>
        <w:tc>
          <w:tcPr>
            <w:tcW w:w="72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 the case of a Restricted Share, have all restrictions on disposing of or otherwise Dealing with</w:t>
            </w:r>
          </w:p>
        </w:tc>
      </w:tr>
      <w:tr>
        <w:trPr>
          <w:trHeight w:val="216"/>
        </w:trPr>
        <w:tc>
          <w:tcPr>
            <w:tcW w:w="6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2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Restricted Share cease in accordance with rule 4.2 (other than any additional restrictions</w:t>
            </w:r>
          </w:p>
        </w:tc>
      </w:tr>
      <w:tr>
        <w:trPr>
          <w:trHeight w:val="234"/>
        </w:trPr>
        <w:tc>
          <w:tcPr>
            <w:tcW w:w="6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2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imposed by the Board under rule 5(d)),</w:t>
            </w:r>
          </w:p>
        </w:tc>
      </w:tr>
      <w:tr>
        <w:trPr>
          <w:trHeight w:val="432"/>
        </w:trPr>
        <w:tc>
          <w:tcPr>
            <w:tcW w:w="68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7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following the satisfaction of all Vesting Conditions that apply to that Incentive Security.</w:t>
            </w:r>
          </w:p>
        </w:tc>
      </w:tr>
      <w:tr>
        <w:trPr>
          <w:trHeight w:val="74"/>
        </w:trPr>
        <w:tc>
          <w:tcPr>
            <w:tcW w:w="68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220" w:type="dxa"/>
            <w:vAlign w:val="bottom"/>
            <w:tcBorders>
              <w:bottom w:val="single" w:sz="8" w:color="auto"/>
              <w:right w:val="single" w:sz="8" w:color="auto"/>
            </w:tcBorders>
          </w:tcPr>
          <w:p>
            <w:pPr>
              <w:spacing w:after="0"/>
              <w:rPr>
                <w:sz w:val="6"/>
                <w:szCs w:val="6"/>
                <w:color w:val="auto"/>
              </w:rPr>
            </w:pPr>
          </w:p>
        </w:tc>
      </w:tr>
      <w:tr>
        <w:trPr>
          <w:trHeight w:val="584"/>
        </w:trPr>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20" w:type="dxa"/>
            <w:vAlign w:val="bottom"/>
          </w:tcPr>
          <w:p>
            <w:pPr>
              <w:ind w:left="6580"/>
              <w:spacing w:after="0"/>
              <w:rPr>
                <w:sz w:val="20"/>
                <w:szCs w:val="20"/>
                <w:color w:val="auto"/>
              </w:rPr>
            </w:pPr>
            <w:r>
              <w:rPr>
                <w:rFonts w:ascii="Times New Roman" w:cs="Times New Roman" w:eastAsia="Times New Roman" w:hAnsi="Times New Roman"/>
                <w:sz w:val="14"/>
                <w:szCs w:val="14"/>
                <w:color w:val="7E7E7E"/>
                <w:w w:val="97"/>
              </w:rPr>
              <w:t xml:space="preserve">P a g e </w:t>
            </w:r>
            <w:r>
              <w:rPr>
                <w:rFonts w:ascii="Times New Roman" w:cs="Times New Roman" w:eastAsia="Times New Roman" w:hAnsi="Times New Roman"/>
                <w:sz w:val="14"/>
                <w:szCs w:val="14"/>
                <w:color w:val="000000"/>
                <w:w w:val="97"/>
              </w:rPr>
              <w:t>| 25</w:t>
            </w:r>
          </w:p>
        </w:tc>
      </w:tr>
      <w:tr>
        <w:trPr>
          <w:trHeight w:val="84"/>
        </w:trPr>
        <w:tc>
          <w:tcPr>
            <w:tcW w:w="680" w:type="dxa"/>
            <w:vAlign w:val="bottom"/>
            <w:tcBorders>
              <w:bottom w:val="single" w:sz="8" w:color="auto"/>
            </w:tcBorders>
          </w:tcPr>
          <w:p>
            <w:pPr>
              <w:spacing w:after="0"/>
              <w:rPr>
                <w:sz w:val="7"/>
                <w:szCs w:val="7"/>
                <w:color w:val="auto"/>
              </w:rPr>
            </w:pPr>
          </w:p>
        </w:tc>
        <w:tc>
          <w:tcPr>
            <w:tcW w:w="28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2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20" w:right="339" w:bottom="1440" w:gutter="0" w:footer="0" w:header="0"/>
        </w:sectPr>
      </w:pPr>
    </w:p>
    <w:bookmarkStart w:id="354" w:name="page355"/>
    <w:bookmarkEnd w:id="354"/>
    <w:p>
      <w:pPr>
        <w:spacing w:after="0" w:line="1" w:lineRule="exact"/>
        <w:rPr>
          <w:sz w:val="20"/>
          <w:szCs w:val="20"/>
          <w:color w:val="auto"/>
        </w:rPr>
      </w:pPr>
    </w:p>
    <w:tbl>
      <w:tblPr>
        <w:tblLayout w:type="fixed"/>
        <w:tblInd w:w="670" w:type="dxa"/>
        <w:tblCellMar>
          <w:top w:w="0" w:type="dxa"/>
          <w:left w:w="0" w:type="dxa"/>
          <w:bottom w:w="0" w:type="dxa"/>
          <w:right w:w="0" w:type="dxa"/>
        </w:tblCellMar>
      </w:tblPr>
      <w:tr>
        <w:trPr>
          <w:trHeight w:val="310"/>
        </w:trPr>
        <w:tc>
          <w:tcPr>
            <w:tcW w:w="2880" w:type="dxa"/>
            <w:vAlign w:val="bottom"/>
            <w:tcBorders>
              <w:top w:val="single" w:sz="8" w:color="auto"/>
              <w:left w:val="single" w:sz="8" w:color="auto"/>
              <w:right w:val="single" w:sz="8" w:color="auto"/>
            </w:tcBorders>
            <w:shd w:val="clear" w:color="auto" w:fill="313D4F"/>
          </w:tcPr>
          <w:p>
            <w:pPr>
              <w:ind w:left="100"/>
              <w:spacing w:after="0"/>
              <w:rPr>
                <w:sz w:val="20"/>
                <w:szCs w:val="20"/>
                <w:color w:val="auto"/>
              </w:rPr>
            </w:pPr>
            <w:r>
              <w:rPr>
                <w:rFonts w:ascii="Times New Roman" w:cs="Times New Roman" w:eastAsia="Times New Roman" w:hAnsi="Times New Roman"/>
                <w:sz w:val="18"/>
                <w:szCs w:val="18"/>
                <w:b w:val="1"/>
                <w:bCs w:val="1"/>
                <w:color w:val="FFFFFF"/>
              </w:rPr>
              <w:t>Defined term</w:t>
            </w:r>
          </w:p>
        </w:tc>
        <w:tc>
          <w:tcPr>
            <w:tcW w:w="7700" w:type="dxa"/>
            <w:vAlign w:val="bottom"/>
            <w:tcBorders>
              <w:top w:val="single" w:sz="8" w:color="auto"/>
              <w:right w:val="single" w:sz="8" w:color="auto"/>
            </w:tcBorders>
            <w:shd w:val="clear" w:color="auto" w:fill="313D4F"/>
          </w:tcPr>
          <w:p>
            <w:pPr>
              <w:ind w:left="60"/>
              <w:spacing w:after="0"/>
              <w:rPr>
                <w:sz w:val="20"/>
                <w:szCs w:val="20"/>
                <w:color w:val="auto"/>
              </w:rPr>
            </w:pPr>
            <w:r>
              <w:rPr>
                <w:rFonts w:ascii="Times New Roman" w:cs="Times New Roman" w:eastAsia="Times New Roman" w:hAnsi="Times New Roman"/>
                <w:sz w:val="18"/>
                <w:szCs w:val="18"/>
                <w:b w:val="1"/>
                <w:bCs w:val="1"/>
                <w:color w:val="FFFFFF"/>
              </w:rPr>
              <w:t>Meaning</w:t>
            </w:r>
          </w:p>
        </w:tc>
      </w:tr>
      <w:tr>
        <w:trPr>
          <w:trHeight w:val="74"/>
        </w:trPr>
        <w:tc>
          <w:tcPr>
            <w:tcW w:w="2880" w:type="dxa"/>
            <w:vAlign w:val="bottom"/>
            <w:tcBorders>
              <w:left w:val="single" w:sz="8" w:color="auto"/>
              <w:bottom w:val="single" w:sz="8" w:color="auto"/>
              <w:right w:val="single" w:sz="8" w:color="auto"/>
            </w:tcBorders>
            <w:shd w:val="clear" w:color="auto" w:fill="313D4F"/>
          </w:tcPr>
          <w:p>
            <w:pPr>
              <w:spacing w:after="0"/>
              <w:rPr>
                <w:sz w:val="6"/>
                <w:szCs w:val="6"/>
                <w:color w:val="auto"/>
              </w:rPr>
            </w:pPr>
          </w:p>
        </w:tc>
        <w:tc>
          <w:tcPr>
            <w:tcW w:w="7700" w:type="dxa"/>
            <w:vAlign w:val="bottom"/>
            <w:tcBorders>
              <w:bottom w:val="single" w:sz="8" w:color="auto"/>
              <w:right w:val="single" w:sz="8" w:color="auto"/>
            </w:tcBorders>
            <w:shd w:val="clear" w:color="auto" w:fill="313D4F"/>
          </w:tcPr>
          <w:p>
            <w:pPr>
              <w:spacing w:after="0"/>
              <w:rPr>
                <w:sz w:val="6"/>
                <w:szCs w:val="6"/>
                <w:color w:val="auto"/>
              </w:rPr>
            </w:pPr>
          </w:p>
        </w:tc>
      </w:tr>
      <w:tr>
        <w:trPr>
          <w:trHeight w:val="265"/>
        </w:trPr>
        <w:tc>
          <w:tcPr>
            <w:tcW w:w="2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Vesting Condition</w:t>
            </w: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performance, service or other conditions that must be satisfied or circumstances which must exist before</w:t>
            </w:r>
          </w:p>
        </w:tc>
      </w:tr>
      <w:tr>
        <w:trPr>
          <w:trHeight w:val="234"/>
        </w:trPr>
        <w:tc>
          <w:tcPr>
            <w:tcW w:w="288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 Incentive Security Vests under these Rules.</w:t>
            </w:r>
          </w:p>
        </w:tc>
      </w:tr>
      <w:tr>
        <w:trPr>
          <w:trHeight w:val="75"/>
        </w:trPr>
        <w:tc>
          <w:tcPr>
            <w:tcW w:w="2880" w:type="dxa"/>
            <w:vAlign w:val="bottom"/>
            <w:tcBorders>
              <w:left w:val="single" w:sz="8" w:color="auto"/>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tcPr>
          <w:p>
            <w:pPr>
              <w:spacing w:after="0"/>
              <w:rPr>
                <w:sz w:val="6"/>
                <w:szCs w:val="6"/>
                <w:color w:val="auto"/>
              </w:rPr>
            </w:pPr>
          </w:p>
        </w:tc>
      </w:tr>
      <w:tr>
        <w:trPr>
          <w:trHeight w:val="265"/>
        </w:trPr>
        <w:tc>
          <w:tcPr>
            <w:tcW w:w="2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Vesting Period</w:t>
            </w: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prescribed period for satisfaction of a Vesting Condition, advised to a participant by the Board under</w:t>
            </w:r>
          </w:p>
        </w:tc>
      </w:tr>
      <w:tr>
        <w:trPr>
          <w:trHeight w:val="234"/>
        </w:trPr>
        <w:tc>
          <w:tcPr>
            <w:tcW w:w="288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rule 1.2.</w:t>
            </w:r>
          </w:p>
        </w:tc>
      </w:tr>
      <w:tr>
        <w:trPr>
          <w:trHeight w:val="74"/>
        </w:trPr>
        <w:tc>
          <w:tcPr>
            <w:tcW w:w="2880" w:type="dxa"/>
            <w:vAlign w:val="bottom"/>
            <w:tcBorders>
              <w:left w:val="single" w:sz="8" w:color="auto"/>
              <w:bottom w:val="single" w:sz="8" w:color="auto"/>
              <w:right w:val="single" w:sz="8" w:color="auto"/>
            </w:tcBorders>
          </w:tcPr>
          <w:p>
            <w:pPr>
              <w:spacing w:after="0"/>
              <w:rPr>
                <w:sz w:val="6"/>
                <w:szCs w:val="6"/>
                <w:color w:val="auto"/>
              </w:rPr>
            </w:pPr>
          </w:p>
        </w:tc>
        <w:tc>
          <w:tcPr>
            <w:tcW w:w="7700" w:type="dxa"/>
            <w:vAlign w:val="bottom"/>
            <w:tcBorders>
              <w:bottom w:val="single" w:sz="8" w:color="auto"/>
              <w:right w:val="single" w:sz="8" w:color="auto"/>
            </w:tcBorders>
          </w:tcPr>
          <w:p>
            <w:pPr>
              <w:spacing w:after="0"/>
              <w:rPr>
                <w:sz w:val="6"/>
                <w:szCs w:val="6"/>
                <w:color w:val="auto"/>
              </w:rPr>
            </w:pPr>
          </w:p>
        </w:tc>
      </w:tr>
    </w:tbl>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EIP, the following rules apply unless a contrary intention appears:</w:t>
      </w:r>
    </w:p>
    <w:p>
      <w:pPr>
        <w:spacing w:after="0" w:line="225" w:lineRule="exact"/>
        <w:rPr>
          <w:sz w:val="20"/>
          <w:szCs w:val="20"/>
          <w:color w:val="auto"/>
        </w:rPr>
      </w:pPr>
    </w:p>
    <w:p>
      <w:pPr>
        <w:ind w:left="1300" w:hanging="644"/>
        <w:spacing w:after="0"/>
        <w:tabs>
          <w:tab w:leader="none" w:pos="13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for convenience only and do not affect the interpretation of the EIP unless the context requires otherwise;</w:t>
      </w:r>
    </w:p>
    <w:p>
      <w:pPr>
        <w:spacing w:after="0" w:line="225"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3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the EIP to any statute or statutory instrument includes a reference to that statute or statutory instrument as amended, consolidated, re- enacted or replaced from time to time;</w:t>
      </w:r>
    </w:p>
    <w:p>
      <w:pPr>
        <w:spacing w:after="0" w:line="161"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 agreement or document includes a reference to that agreement or document as amended, novated, supplemented or amended from time to time;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words denoting the singular include the plural and words denoting the plural include the singular;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word or phrase is given a definite meaning in this EIP, any part of speech or other grammatical form of that word or phrase has a corresponding meaning;</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“includes” in any form is not a word of limitation;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 decision or exercise of power, by the Board will be at its absolute discretion</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55" w:name="page356"/>
    <w:bookmarkEnd w:id="355"/>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Annexure to Telix’s Equity Incentive Plan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TELIX PHARMACEUTICALS LIMITED</w:t>
      </w:r>
    </w:p>
    <w:p>
      <w:pPr>
        <w:spacing w:after="0" w:line="22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u w:val="single" w:color="auto"/>
          <w:color w:val="auto"/>
        </w:rPr>
        <w:t>Clawback / Dodd-Frank Compensation Recovery Policy</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Compensation Recovery Policy (this “Policy”) is adopted by Telix Pharmaceuticals Limited (“Telix”) in accordance with Nasdaq Listing Rule 5608 (“Rule 5608”), which implements Rule 10D-1 under the Securities Exchange Act of 1934, as amended (the “Exchange Act”) (as promulgated pursuant to Section 954 of the Dodd-Frank Wall Street Reform and Consumer Protection Act of 2010). This Policy shall be effective as of the date Telix first has a class of securities listed on a national securities exchange in the United States (the “Effective Date”).</w:t>
      </w:r>
    </w:p>
    <w:p>
      <w:pPr>
        <w:spacing w:after="0" w:line="176" w:lineRule="exact"/>
        <w:rPr>
          <w:sz w:val="20"/>
          <w:szCs w:val="20"/>
          <w:color w:val="auto"/>
        </w:rPr>
      </w:pPr>
    </w:p>
    <w:p>
      <w:pPr>
        <w:ind w:left="420" w:hanging="412"/>
        <w:spacing w:after="0"/>
        <w:tabs>
          <w:tab w:leader="none" w:pos="420" w:val="left"/>
        </w:tabs>
        <w:numPr>
          <w:ilvl w:val="0"/>
          <w:numId w:val="2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rFonts w:ascii="Times New Roman" w:cs="Times New Roman" w:eastAsia="Times New Roman" w:hAnsi="Times New Roman"/>
          <w:sz w:val="18"/>
          <w:szCs w:val="18"/>
          <w:b w:val="1"/>
          <w:bCs w:val="1"/>
          <w:color w:val="auto"/>
        </w:rPr>
      </w:pPr>
    </w:p>
    <w:p>
      <w:pPr>
        <w:ind w:left="920" w:right="140" w:hanging="305"/>
        <w:spacing w:after="0" w:line="271" w:lineRule="auto"/>
        <w:tabs>
          <w:tab w:leader="none" w:pos="920"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“Accounting Restatement” </w:t>
      </w:r>
      <w:r>
        <w:rPr>
          <w:rFonts w:ascii="Times New Roman" w:cs="Times New Roman" w:eastAsia="Times New Roman" w:hAnsi="Times New Roman"/>
          <w:sz w:val="17"/>
          <w:szCs w:val="17"/>
          <w:color w:val="auto"/>
        </w:rPr>
        <w:t>means a requirement that Telix prepare an accounting restatement due to the material non-compliance of Telix</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any financial reporting requirement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Changes to Telix’s financial statements that do not represent error corrections are not an Accounting Restatement, including: (A) retrospective application of a change in accounting principle; (B) retrospective revision to reportable segment information due to a change in the structure of Telix’s internal organisation; (C) retrospective reclassification due to a discontinued operation; (D) retrospective application of a change in reporting entity, such as from a reorganisation of entities under common control; (E) retrospective revision for stock splits, reverse stock splits, stock dividends or other changes in capital structure; and (F) retrospective adjustment to provisional amounts in connection with a prior business combination.</w:t>
      </w:r>
    </w:p>
    <w:p>
      <w:pPr>
        <w:spacing w:after="0" w:line="173"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“Committee” </w:t>
      </w:r>
      <w:r>
        <w:rPr>
          <w:rFonts w:ascii="Times New Roman" w:cs="Times New Roman" w:eastAsia="Times New Roman" w:hAnsi="Times New Roman"/>
          <w:sz w:val="18"/>
          <w:szCs w:val="18"/>
          <w:color w:val="auto"/>
        </w:rPr>
        <w:t>means the People, Culture, Nomination and Remuneration Committee of Telix’s Board of Directors (the “Board”).</w:t>
      </w:r>
    </w:p>
    <w:p>
      <w:pPr>
        <w:spacing w:after="0" w:line="225" w:lineRule="exact"/>
        <w:rPr>
          <w:rFonts w:ascii="Times New Roman" w:cs="Times New Roman" w:eastAsia="Times New Roman" w:hAnsi="Times New Roman"/>
          <w:sz w:val="18"/>
          <w:szCs w:val="18"/>
          <w:color w:val="auto"/>
        </w:rPr>
      </w:pPr>
    </w:p>
    <w:p>
      <w:pPr>
        <w:ind w:left="940" w:right="760" w:hanging="325"/>
        <w:spacing w:after="0" w:line="286" w:lineRule="auto"/>
        <w:tabs>
          <w:tab w:leader="none" w:pos="94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“Covered Person” </w:t>
      </w:r>
      <w:r>
        <w:rPr>
          <w:rFonts w:ascii="Times New Roman" w:cs="Times New Roman" w:eastAsia="Times New Roman" w:hAnsi="Times New Roman"/>
          <w:sz w:val="18"/>
          <w:szCs w:val="18"/>
          <w:color w:val="auto"/>
        </w:rPr>
        <w:t>means a person who served as an Executive Officer at any time during the performance period for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Incentive-Based Compensation.</w:t>
      </w:r>
    </w:p>
    <w:p>
      <w:pPr>
        <w:spacing w:after="0" w:line="154" w:lineRule="exact"/>
        <w:rPr>
          <w:rFonts w:ascii="Times New Roman" w:cs="Times New Roman" w:eastAsia="Times New Roman" w:hAnsi="Times New Roman"/>
          <w:sz w:val="18"/>
          <w:szCs w:val="18"/>
          <w:color w:val="auto"/>
        </w:rPr>
      </w:pPr>
    </w:p>
    <w:p>
      <w:pPr>
        <w:ind w:left="920" w:right="60" w:hanging="305"/>
        <w:spacing w:after="0" w:line="255" w:lineRule="auto"/>
        <w:tabs>
          <w:tab w:leader="none" w:pos="92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“Erroneously Awarded Compensation” </w:t>
      </w:r>
      <w:r>
        <w:rPr>
          <w:rFonts w:ascii="Times New Roman" w:cs="Times New Roman" w:eastAsia="Times New Roman" w:hAnsi="Times New Roman"/>
          <w:sz w:val="18"/>
          <w:szCs w:val="18"/>
          <w:color w:val="auto"/>
        </w:rPr>
        <w:t>means the amount of Incentive-Based Compensation that was Received that exceeds the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Incentive-Based Compensation that otherwise would have been Received had the amount of Incentive-Based Compensation been determined based on the restated amounts, computed without regard to any taxes paid by the Covered Person or by Telix on the Covered Person’s behalf. For Incentive-Based Compensation based on stock price or total shareholder return, where the amount of Erroneously Awarded Compensation is not subject to mathematical recalculation directly from the information in an Accounting Restatement, the amount of Erroneously Awarded Compensation will be based on a reasonable estimate by the Committee of the effect of the Accounting Restatement on the stock price or total shareholder return upon which the Incentive-Based Compensation was Received. Telix will maintain documentation of the determination of that reasonable estimate and provide such documentation to Nasdaq.</w:t>
      </w: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6" w:name="page357"/>
    <w:bookmarkEnd w:id="356"/>
    <w:p>
      <w:pPr>
        <w:ind w:left="920" w:right="60" w:hanging="305"/>
        <w:spacing w:after="0" w:line="257" w:lineRule="auto"/>
        <w:tabs>
          <w:tab w:leader="none" w:pos="92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Officer” </w:t>
      </w:r>
      <w:r>
        <w:rPr>
          <w:rFonts w:ascii="Times New Roman" w:cs="Times New Roman" w:eastAsia="Times New Roman" w:hAnsi="Times New Roman"/>
          <w:sz w:val="18"/>
          <w:szCs w:val="18"/>
          <w:color w:val="auto"/>
        </w:rPr>
        <w:t>means Telix’s president, principal financial officer, principal accounting officer (or if there is no such accounting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controller), any vice president of Telix in charge of a principal business unit, division, or function (such as sales, administration, or finance), any other officer who performs a significant policy-making function, or any other person (including as applicable executives of any of Telix’s parents or subsidiaries) who performs similar policy- making functions for Telix. For the avoidance of doubt, the identification of an executive officer for purposes of this Recovery Policy shall include each executive officer who is or was identified pursuant to Item 401(b) of Regulation S- K or Item 6.A of Form 20-F, as applicable, as well as the principal financial officer and principal accounting officer.</w:t>
      </w:r>
    </w:p>
    <w:p>
      <w:pPr>
        <w:spacing w:after="0" w:line="182" w:lineRule="exact"/>
        <w:rPr>
          <w:rFonts w:ascii="Times New Roman" w:cs="Times New Roman" w:eastAsia="Times New Roman" w:hAnsi="Times New Roman"/>
          <w:sz w:val="18"/>
          <w:szCs w:val="18"/>
          <w:color w:val="auto"/>
        </w:rPr>
      </w:pPr>
    </w:p>
    <w:p>
      <w:pPr>
        <w:ind w:left="940" w:right="180" w:hanging="325"/>
        <w:spacing w:after="0" w:line="259" w:lineRule="auto"/>
        <w:tabs>
          <w:tab w:leader="none" w:pos="9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Reporting Measures” </w:t>
      </w:r>
      <w:r>
        <w:rPr>
          <w:rFonts w:ascii="Times New Roman" w:cs="Times New Roman" w:eastAsia="Times New Roman" w:hAnsi="Times New Roman"/>
          <w:sz w:val="18"/>
          <w:szCs w:val="18"/>
          <w:color w:val="auto"/>
        </w:rPr>
        <w:t>means (A) measures that are determined and presented in accordance with the accounting principles 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preparing Telix’s financial statements, and any measures that are derived wholly or in part from such measures (whether or not such measures are presented within Telix’s financial statements or included in a filing made with the U.S. Securities and Exchange Commission),</w:t>
      </w: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stock price and (C) total shareholder return.</w:t>
      </w:r>
    </w:p>
    <w:p>
      <w:pPr>
        <w:spacing w:after="0" w:line="202" w:lineRule="exact"/>
        <w:rPr>
          <w:rFonts w:ascii="Times New Roman" w:cs="Times New Roman" w:eastAsia="Times New Roman" w:hAnsi="Times New Roman"/>
          <w:sz w:val="18"/>
          <w:szCs w:val="18"/>
          <w:color w:val="auto"/>
        </w:rPr>
      </w:pPr>
    </w:p>
    <w:p>
      <w:pPr>
        <w:ind w:left="920" w:right="20" w:hanging="305"/>
        <w:spacing w:after="0" w:line="286" w:lineRule="auto"/>
        <w:tabs>
          <w:tab w:leader="none" w:pos="92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“Incentive-Based Compensation” </w:t>
      </w:r>
      <w:r>
        <w:rPr>
          <w:rFonts w:ascii="Times New Roman" w:cs="Times New Roman" w:eastAsia="Times New Roman" w:hAnsi="Times New Roman"/>
          <w:sz w:val="18"/>
          <w:szCs w:val="18"/>
          <w:color w:val="auto"/>
        </w:rPr>
        <w:t>means any compensation that is granted, earned, or vested based wholly or in part upon the attainment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Reporting Measure.</w:t>
      </w:r>
    </w:p>
    <w:p>
      <w:pPr>
        <w:spacing w:after="0" w:line="154" w:lineRule="exact"/>
        <w:rPr>
          <w:rFonts w:ascii="Times New Roman" w:cs="Times New Roman" w:eastAsia="Times New Roman" w:hAnsi="Times New Roman"/>
          <w:sz w:val="18"/>
          <w:szCs w:val="18"/>
          <w:color w:val="auto"/>
        </w:rPr>
      </w:pPr>
    </w:p>
    <w:p>
      <w:pPr>
        <w:ind w:left="920" w:right="40" w:hanging="305"/>
        <w:spacing w:after="0" w:line="268" w:lineRule="auto"/>
        <w:tabs>
          <w:tab w:leader="none" w:pos="92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Incentive-Based Compensation is deemed to be </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xml:space="preserve"> in Telix’s fiscal period during which the Financial Reporting Measure specified in the applicable Incentive-Based Compensation award is attained, even if the payment or grant of the Incentive-Based Compensation occurs after the end of that period or is subject to additional time-based vesting requirements.</w:t>
      </w:r>
    </w:p>
    <w:p>
      <w:pPr>
        <w:spacing w:after="0" w:line="170" w:lineRule="exact"/>
        <w:rPr>
          <w:rFonts w:ascii="Times New Roman" w:cs="Times New Roman" w:eastAsia="Times New Roman" w:hAnsi="Times New Roman"/>
          <w:sz w:val="18"/>
          <w:szCs w:val="18"/>
          <w:color w:val="auto"/>
        </w:rPr>
      </w:pPr>
    </w:p>
    <w:p>
      <w:pPr>
        <w:ind w:left="940" w:right="220" w:hanging="325"/>
        <w:spacing w:after="0" w:line="259" w:lineRule="auto"/>
        <w:tabs>
          <w:tab w:leader="none" w:pos="9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“Recovery Period” </w:t>
      </w:r>
      <w:r>
        <w:rPr>
          <w:rFonts w:ascii="Times New Roman" w:cs="Times New Roman" w:eastAsia="Times New Roman" w:hAnsi="Times New Roman"/>
          <w:sz w:val="18"/>
          <w:szCs w:val="18"/>
          <w:color w:val="auto"/>
        </w:rPr>
        <w:t>means the three completed fiscal years immediately preceding the earlier of: (A) the date the Board, a committee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or the officer or officers of Telix authorized to take such action if Board action is not required, concludes, or reasonably should have concluded, that Telix is required to prepare an Accounting Restatement; or (B) the date a court, regulator, or other legally authorized body directs Telix to prepare an Accounting Restatement. In addition, if there is a change in Telix’s fiscal year end, the Recovery Period will also include any transition period to the extent required by Rule 5608.</w:t>
      </w:r>
    </w:p>
    <w:p>
      <w:pPr>
        <w:spacing w:after="0" w:line="179" w:lineRule="exact"/>
        <w:rPr>
          <w:sz w:val="20"/>
          <w:szCs w:val="20"/>
          <w:color w:val="auto"/>
        </w:rPr>
      </w:pPr>
    </w:p>
    <w:p>
      <w:pPr>
        <w:ind w:left="420" w:hanging="412"/>
        <w:spacing w:after="0"/>
        <w:tabs>
          <w:tab w:leader="none" w:pos="420" w:val="left"/>
        </w:tabs>
        <w:numPr>
          <w:ilvl w:val="0"/>
          <w:numId w:val="3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Recovery of Erroneously Awarded Compensation</w:t>
      </w:r>
    </w:p>
    <w:p>
      <w:pPr>
        <w:spacing w:after="0" w:line="229" w:lineRule="exact"/>
        <w:rPr>
          <w:sz w:val="20"/>
          <w:szCs w:val="20"/>
          <w:color w:val="auto"/>
        </w:rPr>
      </w:pPr>
    </w:p>
    <w:p>
      <w:pPr>
        <w:ind w:left="500" w:right="180"/>
        <w:spacing w:after="0" w:line="266" w:lineRule="auto"/>
        <w:rPr>
          <w:sz w:val="20"/>
          <w:szCs w:val="20"/>
          <w:color w:val="auto"/>
        </w:rPr>
      </w:pPr>
      <w:r>
        <w:rPr>
          <w:rFonts w:ascii="Times New Roman" w:cs="Times New Roman" w:eastAsia="Times New Roman" w:hAnsi="Times New Roman"/>
          <w:sz w:val="18"/>
          <w:szCs w:val="18"/>
          <w:color w:val="auto"/>
        </w:rPr>
        <w:t>Subject to the terms of this Policy and the requirements of Rule 5608, if Telix is required to prepare an Accounting Restatement, Telix will attempt to recover, reasonably promptly from each Covered Person, any Erroneously Awarded Compensation that was Received by such Covered Person during the Recovery Period pursuant to Incentive- Based Compensation that is subject to this Policy.</w:t>
      </w:r>
    </w:p>
    <w:p>
      <w:pPr>
        <w:spacing w:after="0" w:line="172" w:lineRule="exact"/>
        <w:rPr>
          <w:sz w:val="20"/>
          <w:szCs w:val="20"/>
          <w:color w:val="auto"/>
        </w:rPr>
      </w:pPr>
    </w:p>
    <w:p>
      <w:pPr>
        <w:ind w:left="420" w:hanging="412"/>
        <w:spacing w:after="0"/>
        <w:tabs>
          <w:tab w:leader="none" w:pos="420" w:val="left"/>
        </w:tabs>
        <w:numPr>
          <w:ilvl w:val="0"/>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Interpretation and Administration</w:t>
      </w:r>
    </w:p>
    <w:p>
      <w:pPr>
        <w:spacing w:after="0" w:line="229" w:lineRule="exact"/>
        <w:rPr>
          <w:rFonts w:ascii="Times New Roman" w:cs="Times New Roman" w:eastAsia="Times New Roman" w:hAnsi="Times New Roman"/>
          <w:sz w:val="18"/>
          <w:szCs w:val="18"/>
          <w:b w:val="1"/>
          <w:bCs w:val="1"/>
          <w:color w:val="auto"/>
        </w:rPr>
      </w:pPr>
    </w:p>
    <w:p>
      <w:pPr>
        <w:ind w:left="920" w:right="740" w:hanging="305"/>
        <w:spacing w:after="0" w:line="266" w:lineRule="auto"/>
        <w:tabs>
          <w:tab w:leader="none" w:pos="92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Role of the Committee</w:t>
      </w:r>
      <w:r>
        <w:rPr>
          <w:rFonts w:ascii="Times New Roman" w:cs="Times New Roman" w:eastAsia="Times New Roman" w:hAnsi="Times New Roman"/>
          <w:sz w:val="18"/>
          <w:szCs w:val="18"/>
          <w:color w:val="auto"/>
        </w:rPr>
        <w:t>. This Policy will be interpreted by the Committee in a manner that is consistent with Rule 5608 and any other applicable law and will otherwise be interpreted in the business judgment of the Committee. All decisions and interpretations of the Committee that are consistent with Rule 5608 will be final and binding.</w:t>
      </w:r>
    </w:p>
    <w:p>
      <w:pPr>
        <w:spacing w:after="0" w:line="175" w:lineRule="exact"/>
        <w:rPr>
          <w:rFonts w:ascii="Times New Roman" w:cs="Times New Roman" w:eastAsia="Times New Roman" w:hAnsi="Times New Roman"/>
          <w:sz w:val="18"/>
          <w:szCs w:val="18"/>
          <w:color w:val="auto"/>
        </w:rPr>
      </w:pPr>
    </w:p>
    <w:p>
      <w:pPr>
        <w:ind w:left="920" w:right="20" w:hanging="305"/>
        <w:spacing w:after="0" w:line="266" w:lineRule="auto"/>
        <w:tabs>
          <w:tab w:leader="none" w:pos="92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Not Subject to this Policy</w:t>
      </w:r>
      <w:r>
        <w:rPr>
          <w:rFonts w:ascii="Times New Roman" w:cs="Times New Roman" w:eastAsia="Times New Roman" w:hAnsi="Times New Roman"/>
          <w:sz w:val="18"/>
          <w:szCs w:val="18"/>
          <w:color w:val="auto"/>
        </w:rPr>
        <w:t>. This Policy does not apply to Incentive- Based Compensation that was Received before the Effective Date. With respect to any Covered Person, this Policy does not apply to Incentive-Based Compensation that was Received by such Covered Person before beginning service as an Executive Officer.</w:t>
      </w:r>
    </w:p>
    <w:p>
      <w:pPr>
        <w:spacing w:after="0" w:line="175" w:lineRule="exact"/>
        <w:rPr>
          <w:rFonts w:ascii="Times New Roman" w:cs="Times New Roman" w:eastAsia="Times New Roman" w:hAnsi="Times New Roman"/>
          <w:sz w:val="18"/>
          <w:szCs w:val="18"/>
          <w:color w:val="auto"/>
        </w:rPr>
      </w:pPr>
    </w:p>
    <w:p>
      <w:pPr>
        <w:ind w:left="940" w:right="220" w:hanging="325"/>
        <w:spacing w:after="0" w:line="256" w:lineRule="auto"/>
        <w:tabs>
          <w:tab w:leader="none" w:pos="94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Means of Recovery</w:t>
      </w:r>
      <w:r>
        <w:rPr>
          <w:rFonts w:ascii="Times New Roman" w:cs="Times New Roman" w:eastAsia="Times New Roman" w:hAnsi="Times New Roman"/>
          <w:sz w:val="18"/>
          <w:szCs w:val="18"/>
          <w:color w:val="auto"/>
        </w:rPr>
        <w:t>. Subject to the requirement that recovery be made reasonably promptly, the Committee will determine the appropriate means of recovery, which may vary between Covered Persons or based on the nature of the applicable Incentive-Based Compensation, and which may involve, without limitation, establishing a deferred repayment plan or setting off against current or future compensation otherwise payable to the Covered Person. Recovery of Erroneously Awarded Compensation will be made without regard to income taxes paid by the Covered Person or by Telix on the Covered Person’s behalf in connection with such Erroneously Awarded Compensation.</w:t>
      </w: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7" w:name="page358"/>
    <w:bookmarkEnd w:id="357"/>
    <w:p>
      <w:pPr>
        <w:ind w:left="920" w:right="20" w:hanging="305"/>
        <w:spacing w:after="0" w:line="255" w:lineRule="auto"/>
        <w:tabs>
          <w:tab w:leader="none" w:pos="92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That Recovery is Impracticable</w:t>
      </w:r>
      <w:r>
        <w:rPr>
          <w:rFonts w:ascii="Times New Roman" w:cs="Times New Roman" w:eastAsia="Times New Roman" w:hAnsi="Times New Roman"/>
          <w:sz w:val="18"/>
          <w:szCs w:val="18"/>
          <w:color w:val="auto"/>
        </w:rPr>
        <w:t>. Telix is not required to recover Erroneously Awarded Compensation if a determination is made by the Committee that either (A) after Telix has made and documented a reasonable attempt to recover such Erroneously Awarded Compensation, the direct expense paid to a third party to assist in enforcing this Policy would exceed the amount to be recovered, (B) recovery would violate a home country law adopted prior to November 28, 2022, which determination may only be made by the Committee after obtaining an opinion of Australian counsel to that effect (and providing such opinion to Nasdaq) or (C) recovery of such Erroneously Awarded Compensation would likely cause an otherwise tax-qualified retirement plan, under which benefits are broadly available to employees of Telix, to fail to meet the requirements of Section 401(a)(13) or 411(a) of the Internal Revenue Code and regulations thereunder.</w:t>
      </w:r>
    </w:p>
    <w:p>
      <w:pPr>
        <w:spacing w:after="0" w:line="188" w:lineRule="exact"/>
        <w:rPr>
          <w:rFonts w:ascii="Times New Roman" w:cs="Times New Roman" w:eastAsia="Times New Roman" w:hAnsi="Times New Roman"/>
          <w:sz w:val="18"/>
          <w:szCs w:val="18"/>
          <w:color w:val="auto"/>
        </w:rPr>
      </w:pPr>
    </w:p>
    <w:p>
      <w:pPr>
        <w:ind w:left="920" w:right="140" w:hanging="305"/>
        <w:spacing w:after="0" w:line="266" w:lineRule="auto"/>
        <w:tabs>
          <w:tab w:leader="none" w:pos="92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Indemnification or Telix-Paid Insurance</w:t>
      </w:r>
      <w:r>
        <w:rPr>
          <w:rFonts w:ascii="Times New Roman" w:cs="Times New Roman" w:eastAsia="Times New Roman" w:hAnsi="Times New Roman"/>
          <w:sz w:val="18"/>
          <w:szCs w:val="18"/>
          <w:color w:val="auto"/>
        </w:rPr>
        <w:t>. Telix will not indemnify any Covered Person against the loss of Erroneously Awarded Compensation and will not pay or reimburse any Covered Person for the purchase of a third-party insurance policy to fund potential recovery obligations.</w:t>
      </w:r>
    </w:p>
    <w:p>
      <w:pPr>
        <w:spacing w:after="0" w:line="175" w:lineRule="exact"/>
        <w:rPr>
          <w:rFonts w:ascii="Times New Roman" w:cs="Times New Roman" w:eastAsia="Times New Roman" w:hAnsi="Times New Roman"/>
          <w:sz w:val="18"/>
          <w:szCs w:val="18"/>
          <w:color w:val="auto"/>
        </w:rPr>
      </w:pPr>
    </w:p>
    <w:p>
      <w:pPr>
        <w:ind w:left="940" w:right="100" w:hanging="325"/>
        <w:spacing w:after="0" w:line="266" w:lineRule="auto"/>
        <w:tabs>
          <w:tab w:leader="none" w:pos="9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Interaction with Other Clawback Provisions</w:t>
      </w:r>
      <w:r>
        <w:rPr>
          <w:rFonts w:ascii="Times New Roman" w:cs="Times New Roman" w:eastAsia="Times New Roman" w:hAnsi="Times New Roman"/>
          <w:sz w:val="18"/>
          <w:szCs w:val="18"/>
          <w:color w:val="auto"/>
        </w:rPr>
        <w:t>. Telix will be deemed to have recovered Erroneously Awarded Compensation in accordance with this Policy to the extent Telix actually receives such amounts pursuant to any other Telix policy, program or agreement, pursuant to Section 304 of the Sarbanes-Oxley Act or otherwise.</w:t>
      </w:r>
    </w:p>
    <w:p>
      <w:pPr>
        <w:spacing w:after="0" w:line="175" w:lineRule="exact"/>
        <w:rPr>
          <w:rFonts w:ascii="Times New Roman" w:cs="Times New Roman" w:eastAsia="Times New Roman" w:hAnsi="Times New Roman"/>
          <w:sz w:val="18"/>
          <w:szCs w:val="18"/>
          <w:color w:val="auto"/>
        </w:rPr>
      </w:pPr>
    </w:p>
    <w:p>
      <w:pPr>
        <w:jc w:val="both"/>
        <w:ind w:left="920" w:right="540" w:hanging="305"/>
        <w:spacing w:after="0" w:line="266" w:lineRule="auto"/>
        <w:tabs>
          <w:tab w:leader="none" w:pos="92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Limitation on Other Remedies</w:t>
      </w:r>
      <w:r>
        <w:rPr>
          <w:rFonts w:ascii="Times New Roman" w:cs="Times New Roman" w:eastAsia="Times New Roman" w:hAnsi="Times New Roman"/>
          <w:sz w:val="18"/>
          <w:szCs w:val="18"/>
          <w:color w:val="auto"/>
        </w:rPr>
        <w:t>. Nothing in this Policy will be deemed to limit Telix’s right to terminate employment of any Covered Person, to seek recovery of other compensation paid to a Covered Person, or to pursue other rights or remedies available to Telix under applicable law.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by the Board effective on 13 November 2024 (Australian Eastern Time).</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E7E7E"/>
        </w:rPr>
        <w:t xml:space="preserve">P a g e </w:t>
      </w:r>
      <w:r>
        <w:rPr>
          <w:rFonts w:ascii="Times New Roman" w:cs="Times New Roman" w:eastAsia="Times New Roman" w:hAnsi="Times New Roman"/>
          <w:sz w:val="14"/>
          <w:szCs w:val="14"/>
          <w:color w:val="000000"/>
        </w:rPr>
        <w: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8" w:name="page359"/>
    <w:bookmarkEnd w:id="35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PURCHASE AGREEMENT</w:t>
      </w:r>
    </w:p>
    <w:p>
      <w:pPr>
        <w:spacing w:after="0" w:line="225" w:lineRule="exact"/>
        <w:rPr>
          <w:sz w:val="20"/>
          <w:szCs w:val="20"/>
          <w:color w:val="auto"/>
        </w:rPr>
      </w:pPr>
    </w:p>
    <w:p>
      <w:pPr>
        <w:jc w:val="both"/>
        <w:ind w:firstLine="189"/>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Stock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as of September 20, 2024, by and among Telix Pharmaceuticals (US) Inc., a Delaware corporation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RLS Group Ltd., a Bahamian international business company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RLS (USA)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Perceptive Credit Holdings III, LP (the “</w:t>
      </w:r>
      <w:r>
        <w:rPr>
          <w:rFonts w:ascii="Times New Roman" w:cs="Times New Roman" w:eastAsia="Times New Roman" w:hAnsi="Times New Roman"/>
          <w:sz w:val="18"/>
          <w:szCs w:val="18"/>
          <w:u w:val="single" w:color="auto"/>
          <w:color w:val="auto"/>
        </w:rPr>
        <w:t>Indemnity Participant</w:t>
      </w:r>
      <w:r>
        <w:rPr>
          <w:rFonts w:ascii="Times New Roman" w:cs="Times New Roman" w:eastAsia="Times New Roman" w:hAnsi="Times New Roman"/>
          <w:sz w:val="18"/>
          <w:szCs w:val="18"/>
          <w:color w:val="auto"/>
        </w:rPr>
        <w:t>”) is entered into as of January 27,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Company, Buyer, and Indemnity Participant are each referred to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defined herein shall have the meanings set forth in the Purchase Agreement.</w:t>
      </w:r>
    </w:p>
    <w:p>
      <w:pPr>
        <w:spacing w:after="0" w:line="183" w:lineRule="exact"/>
        <w:rPr>
          <w:sz w:val="20"/>
          <w:szCs w:val="20"/>
          <w:color w:val="auto"/>
        </w:rPr>
      </w:pPr>
    </w:p>
    <w:p>
      <w:pPr>
        <w:jc w:val="both"/>
        <w:ind w:firstLine="189"/>
        <w:spacing w:after="0" w:line="282" w:lineRule="auto"/>
        <w:rPr>
          <w:sz w:val="20"/>
          <w:szCs w:val="20"/>
          <w:color w:val="auto"/>
        </w:rPr>
      </w:pPr>
      <w:r>
        <w:rPr>
          <w:rFonts w:ascii="Times New Roman" w:cs="Times New Roman" w:eastAsia="Times New Roman" w:hAnsi="Times New Roman"/>
          <w:sz w:val="18"/>
          <w:szCs w:val="18"/>
          <w:color w:val="auto"/>
        </w:rPr>
        <w:t xml:space="preserve">WHEREAS, </w:t>
      </w: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 xml:space="preserve"> of the Purchase Agreement provides that the Purchase Agreement may be amended by a written instrument signed by the Buyer, the Company and the Indemnity Participant; and</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WHEREAS, the Parties desire to amend the Purchase Agreement in the manner as set forth in this Amendment.</w:t>
      </w:r>
    </w:p>
    <w:p>
      <w:pPr>
        <w:spacing w:after="0" w:line="225" w:lineRule="exact"/>
        <w:rPr>
          <w:sz w:val="20"/>
          <w:szCs w:val="20"/>
          <w:color w:val="auto"/>
        </w:rPr>
      </w:pPr>
    </w:p>
    <w:p>
      <w:pPr>
        <w:jc w:val="both"/>
        <w:ind w:firstLine="189"/>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agreements contained in this Amendment and the Purchase Agreement, and for other good and valuable consideration, the receipt and sufficiency of which are acknowledged, on the terms and subject to the conditions of this Amendment, the Parties agree as follows:</w:t>
      </w:r>
    </w:p>
    <w:p>
      <w:pPr>
        <w:spacing w:after="0" w:line="176" w:lineRule="exact"/>
        <w:rPr>
          <w:sz w:val="20"/>
          <w:szCs w:val="20"/>
          <w:color w:val="auto"/>
        </w:rPr>
      </w:pPr>
    </w:p>
    <w:p>
      <w:pPr>
        <w:ind w:left="660" w:hanging="652"/>
        <w:spacing w:after="0"/>
        <w:tabs>
          <w:tab w:leader="none" w:pos="6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1.5(g)</w:t>
      </w:r>
      <w:r>
        <w:rPr>
          <w:rFonts w:ascii="Times New Roman" w:cs="Times New Roman" w:eastAsia="Times New Roman" w:hAnsi="Times New Roman"/>
          <w:sz w:val="18"/>
          <w:szCs w:val="18"/>
          <w:color w:val="auto"/>
        </w:rPr>
        <w:t xml:space="preserve"> of the Purchase Agreement is hereby amended and restated in its entirety as follows:</w:t>
      </w:r>
    </w:p>
    <w:p>
      <w:pPr>
        <w:spacing w:after="0" w:line="225" w:lineRule="exact"/>
        <w:rPr>
          <w:rFonts w:ascii="Times New Roman" w:cs="Times New Roman" w:eastAsia="Times New Roman" w:hAnsi="Times New Roman"/>
          <w:sz w:val="18"/>
          <w:szCs w:val="18"/>
          <w:color w:val="auto"/>
        </w:rPr>
      </w:pP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Final Adjustment</w:t>
      </w:r>
      <w:r>
        <w:rPr>
          <w:rFonts w:ascii="Times New Roman" w:cs="Times New Roman" w:eastAsia="Times New Roman" w:hAnsi="Times New Roman"/>
          <w:sz w:val="18"/>
          <w:szCs w:val="18"/>
          <w:color w:val="auto"/>
        </w:rPr>
        <w:t xml:space="preserve">” shall be equal to (i) the Final Closing Adjustment, minus (ii) the Estimated Closing Adjustment. For the avoidance of doubt, the Final Adjustment may be a positive or negative number. If the Final Adjustment is greater than zero (0), then the Buyer and the Indemnity Participant shall promptly (and in no event later than two (2) Business Days) after the date of determination of the Final Adjustment, execute and deliver joint written instructions to the Escrow Agent instructing the Escrow Agent to (A) release to the Buyer from the Adjustment Escrow Fund an amount of cash equal to the Final Adjustment and, if the amount of the Final Adjustment exceeds the amount then held in the Adjustment Escrow Fund immediately prior to such release, an instruction to the Escrow Agent to release such excess from the Indemnity Escrow Fund to the Buyer; and (B) release the amount of cash then remaining in the Adjustment Escrow Fund (after the payment to the Buyer of the Final Adjustment pursuant to clause (A)) for the benefit of the Indemnity Participant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If the Final Adjustment is less than or equal to zero (0), then promptly (and in no event later than two (2) Business Days) after the date of determination of the Final Adjustment: (1) the absolute value thereof shall be paid by the Buyer to the Indemnity Participant in accordance with the Escrow Agreement and (2) the Buyer and the Indemnity Participant shall execute and deliver joint written instructions to the Escrow Agent instructing the Escrow Agent to release the amount of cash then remaining in the Adjustment Escrow Fund for the benefit of the Indemnity Participant pursuant to </w:t>
      </w:r>
      <w:r>
        <w:rPr>
          <w:rFonts w:ascii="Times New Roman" w:cs="Times New Roman" w:eastAsia="Times New Roman" w:hAnsi="Times New Roman"/>
          <w:sz w:val="18"/>
          <w:szCs w:val="18"/>
          <w:u w:val="single" w:color="auto"/>
          <w:color w:val="auto"/>
        </w:rPr>
        <w:t>Section 1.3(b)(iv)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1.3(b)</w:t>
      </w:r>
    </w:p>
    <w:p>
      <w:pPr>
        <w:spacing w:after="0" w:line="2"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as applicable. Notwithstanding any payment of the Final Adjustment, in the event that the conditions contemplated by </w:t>
      </w:r>
      <w:r>
        <w:rPr>
          <w:rFonts w:ascii="Times New Roman" w:cs="Times New Roman" w:eastAsia="Times New Roman" w:hAnsi="Times New Roman"/>
          <w:sz w:val="18"/>
          <w:szCs w:val="18"/>
          <w:u w:val="single" w:color="auto"/>
          <w:color w:val="auto"/>
        </w:rPr>
        <w:t>Schedule 10.3</w:t>
      </w:r>
      <w:r>
        <w:rPr>
          <w:rFonts w:ascii="Times New Roman" w:cs="Times New Roman" w:eastAsia="Times New Roman" w:hAnsi="Times New Roman"/>
          <w:sz w:val="18"/>
          <w:szCs w:val="18"/>
          <w:color w:val="auto"/>
        </w:rPr>
        <w:t xml:space="preserve"> have not been satisfied on or prior to the date twelve (12) months following the Closing, Buyer shall, no later than five (5) Business Days following such date, pay to the Indemnity Participant by wire transfer of immediately available funds to the account or accounts designated by the Indemnity Participant in writing, the Employee Amount contemplated by Schedule 10.3 that was included in the calculation of the Final Adjustment.</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1.7(a)(iii)</w:t>
      </w:r>
      <w:r>
        <w:rPr>
          <w:rFonts w:ascii="Times New Roman" w:cs="Times New Roman" w:eastAsia="Times New Roman" w:hAnsi="Times New Roman"/>
          <w:sz w:val="18"/>
          <w:szCs w:val="18"/>
          <w:color w:val="auto"/>
        </w:rPr>
        <w:t xml:space="preserve"> of the Purchase Agreement is hereby amended and restated in its entirety as follows:</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an aggregate payment of $5,000,000 (“Milestone Payment #3”), if and only if the Company distributes on average fifty (50) billable Illuccix doses per Buyer Business Day in any full fiscal quarter during the 12 month period beginning January 1, 2025 and ending December 31, 2025 (“Milestone #3”), but disregarding any Illuccix doses distributed by a facility or to a customer acquired in a Post-Closing Acquisition;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59" w:name="page360"/>
    <w:bookmarkEnd w:id="359"/>
    <w:p>
      <w:pPr>
        <w:ind w:left="652" w:hanging="652"/>
        <w:spacing w:after="0"/>
        <w:tabs>
          <w:tab w:leader="none" w:pos="652"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1.7(h)(i)</w:t>
      </w:r>
      <w:r>
        <w:rPr>
          <w:rFonts w:ascii="Times New Roman" w:cs="Times New Roman" w:eastAsia="Times New Roman" w:hAnsi="Times New Roman"/>
          <w:sz w:val="18"/>
          <w:szCs w:val="18"/>
          <w:color w:val="auto"/>
        </w:rPr>
        <w:t xml:space="preserve"> of the Purchase Agreement is hereby amended and restated in its entirety as follows:</w:t>
      </w:r>
    </w:p>
    <w:p>
      <w:pPr>
        <w:spacing w:after="0" w:line="225" w:lineRule="exact"/>
        <w:rPr>
          <w:rFonts w:ascii="Times New Roman" w:cs="Times New Roman" w:eastAsia="Times New Roman" w:hAnsi="Times New Roman"/>
          <w:sz w:val="18"/>
          <w:szCs w:val="18"/>
          <w:color w:val="auto"/>
        </w:rPr>
      </w:pPr>
    </w:p>
    <w:p>
      <w:pPr>
        <w:jc w:val="both"/>
        <w:ind w:left="652"/>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maintain the separate corporate existence and operations (other than general and administrative functions) of the Company and its Subsidiaries and refrain from divesting or discontinuing any material operations (other than general and administrative functions) of the Company or its Subsidiaries or combining such operations of the Company or its Subsidiaries with any other current or future business operations of the Buyer or its other Subsidiaries (it being understood and agreed, for the avoidance of doubt, that this </w:t>
      </w:r>
      <w:r>
        <w:rPr>
          <w:rFonts w:ascii="Times New Roman" w:cs="Times New Roman" w:eastAsia="Times New Roman" w:hAnsi="Times New Roman"/>
          <w:sz w:val="18"/>
          <w:szCs w:val="18"/>
          <w:u w:val="single" w:color="auto"/>
          <w:color w:val="auto"/>
        </w:rPr>
        <w:t>Section 1.7(h)(i)</w:t>
      </w:r>
      <w:r>
        <w:rPr>
          <w:rFonts w:ascii="Times New Roman" w:cs="Times New Roman" w:eastAsia="Times New Roman" w:hAnsi="Times New Roman"/>
          <w:sz w:val="18"/>
          <w:szCs w:val="18"/>
          <w:color w:val="auto"/>
        </w:rPr>
        <w:t xml:space="preserve"> shall not be deemed to prohibit any Post-Closing Acquisition); and”</w:t>
      </w:r>
    </w:p>
    <w:p>
      <w:pPr>
        <w:spacing w:after="0" w:line="183"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of the Disclosure Schedule to the Purchase Agreement is hereby amended and restated in its entirety, as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Amendment.</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Sections 3.17(j)</w:t>
      </w:r>
      <w:r>
        <w:rPr>
          <w:rFonts w:ascii="Times New Roman" w:cs="Times New Roman" w:eastAsia="Times New Roman" w:hAnsi="Times New Roman"/>
          <w:sz w:val="18"/>
          <w:szCs w:val="18"/>
          <w:color w:val="auto"/>
        </w:rPr>
        <w:t xml:space="preserve"> of the Disclosure Schedule to the Purchase Agreement is hereby amended and restated in its entirety, as set forth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to this Amendment.</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the Purchase Agreement is hereby amended by adding the following new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after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Post-Closing Consents &amp; Authorizations</w:t>
      </w:r>
      <w:r>
        <w:rPr>
          <w:rFonts w:ascii="Times New Roman" w:cs="Times New Roman" w:eastAsia="Times New Roman" w:hAnsi="Times New Roman"/>
          <w:sz w:val="18"/>
          <w:szCs w:val="18"/>
          <w:color w:val="auto"/>
        </w:rPr>
        <w:t xml:space="preserve">. Prior to receipt of approval from the applicable Government Entity with respect to those certain radioactive materials licenses identified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of the Disclosure Schedule as “Post-Closing Licenses” (such licenses, the “</w:t>
      </w:r>
      <w:r>
        <w:rPr>
          <w:rFonts w:ascii="Times New Roman" w:cs="Times New Roman" w:eastAsia="Times New Roman" w:hAnsi="Times New Roman"/>
          <w:sz w:val="18"/>
          <w:szCs w:val="18"/>
          <w:u w:val="single" w:color="auto"/>
          <w:color w:val="auto"/>
        </w:rPr>
        <w:t>Post-Closing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 and the facilities and operations associated with such Post-Closing Licenses, the “</w:t>
      </w:r>
      <w:r>
        <w:rPr>
          <w:rFonts w:ascii="Times New Roman" w:cs="Times New Roman" w:eastAsia="Times New Roman" w:hAnsi="Times New Roman"/>
          <w:sz w:val="18"/>
          <w:szCs w:val="18"/>
          <w:u w:val="single" w:color="auto"/>
          <w:color w:val="auto"/>
        </w:rPr>
        <w:t>Restricted Facilities</w:t>
      </w:r>
      <w:r>
        <w:rPr>
          <w:rFonts w:ascii="Times New Roman" w:cs="Times New Roman" w:eastAsia="Times New Roman" w:hAnsi="Times New Roman"/>
          <w:sz w:val="18"/>
          <w:szCs w:val="18"/>
          <w:color w:val="auto"/>
        </w:rPr>
        <w:t>”), Buyer shall not exercise control over the decision making, operations and management of the Restricted Facilities for which such Post-Closing Licenses have not been obtained. During such period, the decision making, operations and management of the Restricted Facilities shall be under the exclusive control of the Restricted Facility License Committee. For the avoidance of doubt, while Buyer shall have no direct or indirect control over the decision making, operation and management of the Restricted Facilities until such time that approval from the applicable Governmental Entity with respect to the Post-Closing Licenses are obtained, any economic benefits derived from the Restricted Facilities shall be solely for the direct benefit of the Company and indirect benefit of Buyer.”</w:t>
      </w:r>
    </w:p>
    <w:p>
      <w:pPr>
        <w:spacing w:after="0" w:line="188"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Sections 6.11(g)</w:t>
      </w:r>
      <w:r>
        <w:rPr>
          <w:rFonts w:ascii="Times New Roman" w:cs="Times New Roman" w:eastAsia="Times New Roman" w:hAnsi="Times New Roman"/>
          <w:sz w:val="18"/>
          <w:szCs w:val="18"/>
          <w:color w:val="auto"/>
        </w:rPr>
        <w:t xml:space="preserve"> of the Purchase Agreement is hereby amended and restated in its entirety as follows:</w:t>
      </w:r>
    </w:p>
    <w:p>
      <w:pPr>
        <w:spacing w:after="0" w:line="225" w:lineRule="exact"/>
        <w:rPr>
          <w:rFonts w:ascii="Times New Roman" w:cs="Times New Roman" w:eastAsia="Times New Roman" w:hAnsi="Times New Roman"/>
          <w:sz w:val="18"/>
          <w:szCs w:val="18"/>
          <w:color w:val="auto"/>
        </w:rPr>
      </w:pPr>
    </w:p>
    <w:p>
      <w:pPr>
        <w:ind w:left="652" w:right="8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(g) </w:t>
      </w:r>
      <w:r>
        <w:rPr>
          <w:rFonts w:ascii="Times New Roman" w:cs="Times New Roman" w:eastAsia="Times New Roman" w:hAnsi="Times New Roman"/>
          <w:sz w:val="17"/>
          <w:szCs w:val="17"/>
          <w:u w:val="single" w:color="auto"/>
          <w:color w:val="auto"/>
        </w:rPr>
        <w:t>Cooperation</w:t>
      </w:r>
      <w:r>
        <w:rPr>
          <w:rFonts w:ascii="Times New Roman" w:cs="Times New Roman" w:eastAsia="Times New Roman" w:hAnsi="Times New Roman"/>
          <w:sz w:val="17"/>
          <w:szCs w:val="17"/>
          <w:color w:val="auto"/>
        </w:rPr>
        <w:t xml:space="preserve">. Each of the Buyer, the Company and its Subsidiaries, Seller, and the Company Participants and their respective Affiliates shall reasonably cooperate with each other and the Key Employees in the preparation and filing of all Tax Returns, in making any election related to Taxes, in filing refund claims, and the conduct of all Tax audits or other administrative or judicial proceedings relating to the determination of any Tax for any taxable periods for which one party could reasonably require the assistance of the other party in obtaining any necessary information, which cooperation may include making personnel available at reasonable times;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the Key Employees, the obligations of the Buyer, the Company and their respective Affiliates shall be limited to reasonable cooperation in obtaining necessary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233045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360" w:name="page361"/>
    <w:bookmarkEnd w:id="360"/>
    <w:p>
      <w:pPr>
        <w:ind w:left="652" w:hanging="652"/>
        <w:spacing w:after="0"/>
        <w:tabs>
          <w:tab w:leader="none" w:pos="652"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of the Purchase Agreement is hereby amended and restated in its entirety as follows:</w:t>
      </w:r>
    </w:p>
    <w:p>
      <w:pPr>
        <w:spacing w:after="0" w:line="225" w:lineRule="exact"/>
        <w:rPr>
          <w:rFonts w:ascii="Times New Roman" w:cs="Times New Roman" w:eastAsia="Times New Roman" w:hAnsi="Times New Roman"/>
          <w:sz w:val="18"/>
          <w:szCs w:val="18"/>
          <w:color w:val="auto"/>
        </w:rPr>
      </w:pPr>
    </w:p>
    <w:p>
      <w:pPr>
        <w:jc w:val="both"/>
        <w:ind w:left="65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all of the consents, approvals or other authorizations applicable to the transactions contemplated by this Agreement from Healthcare Regulatory Authorities set forth on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of the Disclosure Schedule, except for the Post-Closing Licenses, shall have been obtained, and no such consent, approval or other authorization shall have been revoked; and”</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defined terms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the Purchase Agreement are amended and restated in their entirety as follows:</w:t>
      </w:r>
    </w:p>
    <w:p>
      <w:pPr>
        <w:spacing w:after="0" w:line="225" w:lineRule="exact"/>
        <w:rPr>
          <w:rFonts w:ascii="Times New Roman" w:cs="Times New Roman" w:eastAsia="Times New Roman" w:hAnsi="Times New Roman"/>
          <w:sz w:val="18"/>
          <w:szCs w:val="18"/>
          <w:color w:val="auto"/>
        </w:rPr>
      </w:pPr>
    </w:p>
    <w:p>
      <w:pPr>
        <w:jc w:val="both"/>
        <w:ind w:left="652"/>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“Adjusted EBITDA” means EBITDA, including (x) a bad debt expense which shall not be less than six-tenths of a percent (0.6%) of revenue net of returns and (y) a fleet rental expense which is equal to the greater of, without duplication, (i) any amounts paid in cash labelled as “monthly depreciation” and/or “interest” indicated on an invoice pursuant to that certain Fleet Services Master Agreement with Merchants Automotive Group, LLC or (ii) as recorded in the monthly financial statements delivered by the Company pursuant to </w:t>
      </w:r>
      <w:r>
        <w:rPr>
          <w:rFonts w:ascii="Times New Roman" w:cs="Times New Roman" w:eastAsia="Times New Roman" w:hAnsi="Times New Roman"/>
          <w:sz w:val="17"/>
          <w:szCs w:val="17"/>
          <w:u w:val="single" w:color="auto"/>
          <w:color w:val="auto"/>
        </w:rPr>
        <w:t>Section 6.2(b)</w:t>
      </w:r>
      <w:r>
        <w:rPr>
          <w:rFonts w:ascii="Times New Roman" w:cs="Times New Roman" w:eastAsia="Times New Roman" w:hAnsi="Times New Roman"/>
          <w:sz w:val="17"/>
          <w:szCs w:val="17"/>
          <w:color w:val="auto"/>
        </w:rPr>
        <w:t xml:space="preserve"> in accordance with the Accounting Principles, and subject to the following addbacks: (a) any fees, costs or expenses incurred by the Company in connection with the transactions contemplated by this Agreement, (b) any net losses from new revenue stream startup costs up to $50,000 per fiscal quarter per project,</w:t>
      </w:r>
    </w:p>
    <w:p>
      <w:pPr>
        <w:spacing w:after="0" w:line="4" w:lineRule="exact"/>
        <w:rPr>
          <w:rFonts w:ascii="Times New Roman" w:cs="Times New Roman" w:eastAsia="Times New Roman" w:hAnsi="Times New Roman"/>
          <w:sz w:val="18"/>
          <w:szCs w:val="18"/>
          <w:color w:val="auto"/>
        </w:rPr>
      </w:pPr>
    </w:p>
    <w:p>
      <w:pPr>
        <w:jc w:val="both"/>
        <w:ind w:left="652"/>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any revenue, fees, costs or expenses in connection with any ongoing strategically held operations located at the facilities referenced by the following lab codes: CA6,” “WA1,” “PA2” and “PA3,” (d) any fees, costs or expenses incurred by the Company in connection with any reasonable and documented third party legal costs in excess of $50,000 per fiscal quarter, excluding legal costs incurred in conjunction with employee matters and (e) the total consideration and any fees, costs or expenses incurred by the Company in connection with any Post-Closing Acquisition. Adjusted EBITDA shall not include (and, for avoidance of doubt, such amounts will be removed from EBITDA as if they didn’t occur for purposes of calculating Adjusted EBITDA): (i) any profits or gains that are extraordinary or exceptional due to their size, nature or type and outside the ordinary course of business by reference to the twenty-four (24) months ended on December 31, 2023, and are not expected to recur, including, but not limited to (A) one-time gain and settlement fees in connection with the GE transaction; and (B) gain from debt forgiveness, including forgiveness of liability in connection with the Curium US Holdings LLC CPV Agreement; (ii) any profits or gains of a capital nature (including, for the avoidance of doubt, those arising from any sale, disposal or scrapping of fixed assets); (iii) revenue generated from the release of a provision that was not accrued in the period from January 1, 2025 to December 31, 2025 and (iv) any revenue generated by new facilities or from new customers acquired in a Post-Closing Acquisition.</w:t>
      </w:r>
    </w:p>
    <w:p>
      <w:pPr>
        <w:spacing w:after="0" w:line="192" w:lineRule="exact"/>
        <w:rPr>
          <w:sz w:val="20"/>
          <w:szCs w:val="20"/>
          <w:color w:val="auto"/>
        </w:rPr>
      </w:pPr>
    </w:p>
    <w:p>
      <w:pPr>
        <w:jc w:val="both"/>
        <w:ind w:left="652"/>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Amount</w:t>
      </w:r>
      <w:r>
        <w:rPr>
          <w:rFonts w:ascii="Times New Roman" w:cs="Times New Roman" w:eastAsia="Times New Roman" w:hAnsi="Times New Roman"/>
          <w:sz w:val="18"/>
          <w:szCs w:val="18"/>
          <w:color w:val="auto"/>
        </w:rPr>
        <w:t xml:space="preserve">” means (a) all amounts payable pursuant to the April 2024 “discretionary bonus plan” and any change in control or transaction-based bonus plan, severance plan or retention, employment, consulting, compensation or other arrangement or agreement between the Seller, Perceptive, the Company or its Subsidiaries and a Company Employee, in each case, that are payable by the Company in connection with the transactions contemplated by this Agreement alone or in combination with any other event, or amounts payable pursuant to the arrangements set forth on </w:t>
      </w:r>
      <w:r>
        <w:rPr>
          <w:rFonts w:ascii="Times New Roman" w:cs="Times New Roman" w:eastAsia="Times New Roman" w:hAnsi="Times New Roman"/>
          <w:sz w:val="18"/>
          <w:szCs w:val="18"/>
          <w:u w:val="single" w:color="auto"/>
          <w:color w:val="auto"/>
        </w:rPr>
        <w:t>Schedule 10.3</w:t>
      </w:r>
      <w:r>
        <w:rPr>
          <w:rFonts w:ascii="Times New Roman" w:cs="Times New Roman" w:eastAsia="Times New Roman" w:hAnsi="Times New Roman"/>
          <w:sz w:val="18"/>
          <w:szCs w:val="18"/>
          <w:color w:val="auto"/>
        </w:rPr>
        <w:t xml:space="preserve">, plus (b) all Liabilities for unfunded or underfunded Liabilities under any deferred compensation, defined benefit pension, supplemental retirement or post-employment welfare plan or arrangement as of immediately prior to the Closing, plus (c) all Liabilities for accrued vacation time/paid time off as of the Closing Date, plus (d) all Liabilities for unpaid severance arising from any terminations prior to the Closing (whether or not accrued), plus (e) the employer’s share of Taxes payable with respect to all such amounts described in the foregoing clauses (a) through (d), including the employer’s share of Taxes payable with respect to (A) the portion of the Closing Consideration payable to an Indemnity Participant who is, immediately prior to the Effective Time, a Company Employee, and (B) any such amounts described in the foregoing clauses (a) through (d) funded by the Seller or Perceptive, and which in each case shall include such Liabilities with respect to employees, consultants or independent contractors (in each case, in the event the Closing occurs in 2024, computed assuming the wage base limitation has been exceeded for the purposes of Taxes under Section 3111(a) of the Code and, in the event the Closing occurs in 2025, computing Taxes under Section 3111(a) using the actual wages paid prior to Closing for purposes of the wage base limitation, but only including fifty percent (50%) of such Taxes in the Employee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“Employee Amount” shall exclude (x) any amounts reflected in Closing Net Working Capital and (y) any amounts payable after Closing as a result of any Contracts or arrangements entered into by the Company or the Buyer after Closing or that otherwise arise or are incurred due to any action taken by or at the direction of the Buyer or any of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361" w:name="page362"/>
    <w:bookmarkEnd w:id="361"/>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“SPECT Net Revenue” means total gross revenue of the Company and its Subsidiaries minus (i) net revenues (gross charges less credits) of any radioactive pharmaceutical drug used as part of a diagnostic positron emission tomography (PET) scan, including Ga-68, F-18, Cu-64, and similar products, minus (ii) sales return, group purchasing organization administrative fees and rebates accrued for both group purchasing organizations and direct customers and credits for sample products, minus (iii) any revenue generated by new facilities or from new customers acquired in a Post-Closing Acquisition, in each case calculated in accordance with the principles, practices, policies, procedures, conventions, classifications, estimation techniques, judgments, and methodologies that were actually applied in preparing the Company Financial Statements (including in relation to the exercise of accounting discretion and judgment) as of December 31, 2023, as disclosed in note 3 “Revenue recognition” and “Rebates and allowance” and disregarding any changes in GAAP after December 31, 2023.</w:t>
      </w:r>
    </w:p>
    <w:p>
      <w:pPr>
        <w:spacing w:after="0" w:line="192" w:lineRule="exact"/>
        <w:rPr>
          <w:sz w:val="20"/>
          <w:szCs w:val="20"/>
          <w:color w:val="auto"/>
        </w:rPr>
      </w:pPr>
    </w:p>
    <w:p>
      <w:pPr>
        <w:ind w:left="660" w:hanging="652"/>
        <w:spacing w:after="0"/>
        <w:tabs>
          <w:tab w:leader="none" w:pos="66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defined terms are hereby added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the Purchase Agreement:</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Acquisition</w:t>
      </w:r>
      <w:r>
        <w:rPr>
          <w:rFonts w:ascii="Times New Roman" w:cs="Times New Roman" w:eastAsia="Times New Roman" w:hAnsi="Times New Roman"/>
          <w:sz w:val="18"/>
          <w:szCs w:val="18"/>
          <w:color w:val="auto"/>
        </w:rPr>
        <w:t>” means any acquisition of a radiopharmacy business consummated during any Milestone Period, including any acquisition of (i) a new radiopharmacy facility or (ii) a book of business including radiopharmacy customers.</w:t>
      </w:r>
    </w:p>
    <w:p>
      <w:pPr>
        <w:spacing w:after="0" w:line="161"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Facility License Committee</w:t>
      </w:r>
      <w:r>
        <w:rPr>
          <w:rFonts w:ascii="Times New Roman" w:cs="Times New Roman" w:eastAsia="Times New Roman" w:hAnsi="Times New Roman"/>
          <w:sz w:val="18"/>
          <w:szCs w:val="18"/>
          <w:color w:val="auto"/>
        </w:rPr>
        <w:t>” means the committee initially consisting of Trey Bankson and Stephen Belcher, validly appointed and authorized by the board of directors of the Company, to act with the sole authority and discretion to operate, manage and control all activities at the Restricted Facilities until such Restricted Facilities obtain the requisite approval from the applicable Governmental Entities with respect to the Post-Closing Licenses.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foregoing amendments, the Parties acknowledge and confirm that the Purchase Agreement shall remain in full force and effect, unamended, and, upon the execution of this Amendment, the Purchase Agreement and this Amendment shall be deemed to form a part of the Purchase Agreement. From and after the execution of this Amendment by the parties hereto, each reference in the Purchase Agreement to “this Agreement”, the “Agreement”, “hereunder”, “hereof” or words of like import, and each reference to the Purchase Agreement in any other agreements, documents or instruments executed and delivered pursuant to, or in connection with, the Purchase Agreement, will mean and be a reference to the Purchase Agreement as amended by this Amendment.</w:t>
      </w:r>
    </w:p>
    <w:p>
      <w:pPr>
        <w:spacing w:after="0" w:line="18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Sections 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11.4</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11.9</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11.15</w:t>
      </w:r>
      <w:r>
        <w:rPr>
          <w:rFonts w:ascii="Times New Roman" w:cs="Times New Roman" w:eastAsia="Times New Roman" w:hAnsi="Times New Roman"/>
          <w:sz w:val="18"/>
          <w:szCs w:val="18"/>
          <w:color w:val="auto"/>
        </w:rPr>
        <w:t xml:space="preserve"> of the Purchase Agreement are incorporated in this 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7"/>
          <w:szCs w:val="17"/>
          <w:color w:val="auto"/>
        </w:rPr>
        <w:t>IN WITNESS WHEREOF, the Parties have duly executed this Amendment to the Purchase Agreement as of the date first written above.</w:t>
      </w:r>
    </w:p>
    <w:p>
      <w:pPr>
        <w:spacing w:after="0" w:line="23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3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TELIX PHARMACEUTICALS (US) INC.</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By: /s/ Kevin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17145</wp:posOffset>
            </wp:positionV>
            <wp:extent cx="44145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7">
                      <a:extLst>
                        <a:ext uri="{28A0092B-C50C-407E-A947-70E740481C1C}"/>
                      </a:extLst>
                    </a:blip>
                    <a:srcRect/>
                    <a:stretch>
                      <a:fillRect/>
                    </a:stretch>
                  </pic:blipFill>
                  <pic:spPr bwMode="auto">
                    <a:xfrm>
                      <a:off x="0" y="0"/>
                      <a:ext cx="4414520" cy="17145"/>
                    </a:xfrm>
                    <a:prstGeom prst="rect">
                      <a:avLst/>
                    </a:prstGeom>
                    <a:noFill/>
                  </pic:spPr>
                </pic:pic>
              </a:graphicData>
            </a:graphic>
          </wp:anchor>
        </w:drawing>
      </w:r>
    </w:p>
    <w:p>
      <w:pPr>
        <w:spacing w:after="0" w:line="1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Kevin Richardson</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Director and Chief Executive Officer</w:t>
      </w:r>
    </w:p>
    <w:p>
      <w:pPr>
        <w:spacing w:after="0" w:line="20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RLS (USA) INC.</w:t>
      </w:r>
    </w:p>
    <w:p>
      <w:pPr>
        <w:spacing w:after="0" w:line="2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By: /s/ Stephen Belcher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17145</wp:posOffset>
            </wp:positionV>
            <wp:extent cx="44145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8">
                      <a:extLst>
                        <a:ext uri="{28A0092B-C50C-407E-A947-70E740481C1C}"/>
                      </a:extLst>
                    </a:blip>
                    <a:srcRect/>
                    <a:stretch>
                      <a:fillRect/>
                    </a:stretch>
                  </pic:blipFill>
                  <pic:spPr bwMode="auto">
                    <a:xfrm>
                      <a:off x="0" y="0"/>
                      <a:ext cx="4414520" cy="17145"/>
                    </a:xfrm>
                    <a:prstGeom prst="rect">
                      <a:avLst/>
                    </a:prstGeom>
                    <a:noFill/>
                  </pic:spPr>
                </pic:pic>
              </a:graphicData>
            </a:graphic>
          </wp:anchor>
        </w:drawing>
      </w:r>
    </w:p>
    <w:p>
      <w:pPr>
        <w:spacing w:after="0" w:line="1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Stephen Belcher</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INDEMNITY PARTICIPANT:</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PERCEPTIVE CREDIT OPPORTUNITIES GP, LLC</w:t>
      </w:r>
      <w:r>
        <w:rPr>
          <w:rFonts w:ascii="Times New Roman" w:cs="Times New Roman" w:eastAsia="Times New Roman" w:hAnsi="Times New Roman"/>
          <w:sz w:val="18"/>
          <w:szCs w:val="18"/>
          <w:color w:val="auto"/>
        </w:rPr>
        <w:t>, its general partner</w:t>
      </w:r>
    </w:p>
    <w:p>
      <w:pPr>
        <w:spacing w:after="0" w:line="2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By: /s/ Sandeep Dixit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17145</wp:posOffset>
            </wp:positionV>
            <wp:extent cx="44145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9">
                      <a:extLst>
                        <a:ext uri="{28A0092B-C50C-407E-A947-70E740481C1C}"/>
                      </a:extLst>
                    </a:blip>
                    <a:srcRect/>
                    <a:stretch>
                      <a:fillRect/>
                    </a:stretch>
                  </pic:blipFill>
                  <pic:spPr bwMode="auto">
                    <a:xfrm>
                      <a:off x="0" y="0"/>
                      <a:ext cx="4414520" cy="17145"/>
                    </a:xfrm>
                    <a:prstGeom prst="rect">
                      <a:avLst/>
                    </a:prstGeom>
                    <a:noFill/>
                  </pic:spPr>
                </pic:pic>
              </a:graphicData>
            </a:graphic>
          </wp:anchor>
        </w:drawing>
      </w:r>
    </w:p>
    <w:p>
      <w:pPr>
        <w:spacing w:after="0" w:line="1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Sandeep Dixit</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Chief Credit Officer</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By: /s/ Sam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17145</wp:posOffset>
            </wp:positionV>
            <wp:extent cx="44145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0">
                      <a:extLst>
                        <a:ext uri="{28A0092B-C50C-407E-A947-70E740481C1C}"/>
                      </a:extLst>
                    </a:blip>
                    <a:srcRect/>
                    <a:stretch>
                      <a:fillRect/>
                    </a:stretch>
                  </pic:blipFill>
                  <pic:spPr bwMode="auto">
                    <a:xfrm>
                      <a:off x="0" y="0"/>
                      <a:ext cx="4414520" cy="17145"/>
                    </a:xfrm>
                    <a:prstGeom prst="rect">
                      <a:avLst/>
                    </a:prstGeom>
                    <a:noFill/>
                  </pic:spPr>
                </pic:pic>
              </a:graphicData>
            </a:graphic>
          </wp:anchor>
        </w:drawing>
      </w:r>
    </w:p>
    <w:p>
      <w:pPr>
        <w:spacing w:after="0" w:line="1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Sam Chawla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Portfolio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340360</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39"/>
          </w:cols>
          <w:pgMar w:left="520" w:top="121" w:right="1440" w:bottom="1440" w:gutter="0" w:footer="0" w:header="0"/>
        </w:sectPr>
      </w:pPr>
    </w:p>
    <w:bookmarkStart w:id="363" w:name="page364"/>
    <w:bookmarkEnd w:id="36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4.19</w:t>
      </w:r>
    </w:p>
    <w:p>
      <w:pPr>
        <w:spacing w:after="0" w:line="2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Employee Stock Purchase Plan Rules</w:t>
      </w:r>
    </w:p>
    <w:p>
      <w:pPr>
        <w:spacing w:after="0" w:line="225"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18"/>
          <w:szCs w:val="18"/>
          <w:color w:val="auto"/>
        </w:rPr>
        <w:t>Telix Pharmaceuticals (US) Inc</w:t>
      </w:r>
    </w:p>
    <w:p>
      <w:pPr>
        <w:spacing w:after="0" w:line="225"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18"/>
          <w:szCs w:val="18"/>
          <w:color w:val="auto"/>
        </w:rPr>
        <w:t>EIN 82-4003948</w:t>
      </w:r>
    </w:p>
    <w:p>
      <w:pPr>
        <w:spacing w:after="0" w:line="225"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18"/>
          <w:szCs w:val="18"/>
          <w:color w:val="auto"/>
        </w:rPr>
        <w:t>Adopted by the Board on</w:t>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12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364" w:name="page365"/>
    <w:bookmarkEnd w:id="364"/>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4120" w:type="dxa"/>
            <w:vAlign w:val="bottom"/>
            <w:gridSpan w:val="2"/>
          </w:tcPr>
          <w:p>
            <w:pPr>
              <w:ind w:left="27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0" w:type="dxa"/>
            <w:vAlign w:val="bottom"/>
          </w:tcPr>
          <w:p>
            <w:pPr>
              <w:spacing w:after="0"/>
              <w:rPr>
                <w:sz w:val="1"/>
                <w:szCs w:val="1"/>
                <w:color w:val="auto"/>
              </w:rPr>
            </w:pPr>
          </w:p>
        </w:tc>
      </w:tr>
      <w:tr>
        <w:trPr>
          <w:trHeight w:val="317"/>
        </w:trPr>
        <w:tc>
          <w:tcPr>
            <w:tcW w:w="114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1.Introduction</w:t>
            </w:r>
          </w:p>
        </w:tc>
        <w:tc>
          <w:tcPr>
            <w:tcW w:w="6000" w:type="dxa"/>
            <w:vAlign w:val="bottom"/>
            <w:shd w:val="clear" w:color="auto" w:fill="CCEEFF"/>
          </w:tcPr>
          <w:p>
            <w:pPr>
              <w:spacing w:after="0"/>
              <w:rPr>
                <w:sz w:val="18"/>
                <w:szCs w:val="18"/>
                <w:color w:val="auto"/>
              </w:rPr>
            </w:pP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(a)</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Purpose</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5"/>
              </w:rPr>
              <w:t>(b)</w:t>
            </w: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2.Definitions</w:t>
            </w:r>
          </w:p>
        </w:tc>
        <w:tc>
          <w:tcPr>
            <w:tcW w:w="6000" w:type="dxa"/>
            <w:vAlign w:val="bottom"/>
            <w:shd w:val="clear" w:color="auto" w:fill="CCEEFF"/>
          </w:tcPr>
          <w:p>
            <w:pPr>
              <w:spacing w:after="0"/>
              <w:rPr>
                <w:sz w:val="18"/>
                <w:szCs w:val="18"/>
                <w:color w:val="auto"/>
              </w:rPr>
            </w:pP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3.Eligibility</w:t>
            </w:r>
          </w:p>
        </w:tc>
        <w:tc>
          <w:tcPr>
            <w:tcW w:w="6000" w:type="dxa"/>
            <w:vAlign w:val="bottom"/>
            <w:shd w:val="clear" w:color="auto" w:fill="CCEEFF"/>
          </w:tcPr>
          <w:p>
            <w:pPr>
              <w:spacing w:after="0"/>
              <w:rPr>
                <w:sz w:val="18"/>
                <w:szCs w:val="18"/>
                <w:color w:val="auto"/>
              </w:rPr>
            </w:pP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(a)</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Broad-Based Stock Plan</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5"/>
              </w:rPr>
              <w:t>(b)</w:t>
            </w: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Limitations</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18"/>
                <w:szCs w:val="18"/>
                <w:color w:val="auto"/>
              </w:rPr>
            </w:pPr>
          </w:p>
        </w:tc>
        <w:tc>
          <w:tcPr>
            <w:tcW w:w="4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4.Participation</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(a)</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Enrollment Agreement</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5"/>
              </w:rPr>
              <w:t>(b)</w:t>
            </w: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After-Tax Contributions</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(c)</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Whole Shares</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5"/>
              </w:rPr>
              <w:t>(d)</w:t>
            </w: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 Mandatory Participation</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18"/>
                <w:szCs w:val="18"/>
                <w:color w:val="auto"/>
              </w:rPr>
            </w:pPr>
          </w:p>
        </w:tc>
        <w:tc>
          <w:tcPr>
            <w:tcW w:w="4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5.Contributions</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(a)</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Elections</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5"/>
              </w:rPr>
              <w:t>(b)</w:t>
            </w: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Benefits</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(c)</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Notional Account</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5"/>
              </w:rPr>
              <w:t>(d)</w:t>
            </w: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Changes</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(e)</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Termination of Employee Status</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(f)</w:t>
            </w: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Leave of Absence</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18"/>
                <w:szCs w:val="18"/>
                <w:color w:val="auto"/>
              </w:rPr>
            </w:pPr>
          </w:p>
        </w:tc>
        <w:tc>
          <w:tcPr>
            <w:tcW w:w="4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6.Offering Periods and Contribution Periods</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(a)</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Timing</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5"/>
              </w:rPr>
              <w:t>(b)</w:t>
            </w: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to Purchase Shares</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(c)</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5"/>
              </w:rPr>
              <w:t>(d)</w:t>
            </w: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of Shares</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(e)</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Mandatory Holding Periods</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(f)</w:t>
            </w: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Exchange Rate</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5"/>
              </w:rPr>
              <w:t>(g)</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 Rights</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b w:val="1"/>
                <w:bCs w:val="1"/>
                <w:color w:val="auto"/>
              </w:rPr>
              <w:t>Shares</w:t>
            </w:r>
          </w:p>
        </w:tc>
        <w:tc>
          <w:tcPr>
            <w:tcW w:w="6000" w:type="dxa"/>
            <w:vAlign w:val="bottom"/>
          </w:tcPr>
          <w:p>
            <w:pPr>
              <w:spacing w:after="0"/>
              <w:rPr>
                <w:sz w:val="18"/>
                <w:szCs w:val="18"/>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(a)</w:t>
            </w: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Reserve</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5"/>
              </w:rPr>
              <w:t>(b)</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(c)</w:t>
            </w: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of Shares</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5"/>
              </w:rPr>
              <w:t>(d)</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Conditions Upon Issuance of Shares</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jc w:val="center"/>
              <w:ind w:right="5730"/>
              <w:spacing w:after="0"/>
              <w:rPr>
                <w:sz w:val="20"/>
                <w:szCs w:val="20"/>
                <w:color w:val="auto"/>
              </w:rPr>
            </w:pPr>
            <w:r>
              <w:rPr>
                <w:rFonts w:ascii="Times New Roman" w:cs="Times New Roman" w:eastAsia="Times New Roman" w:hAnsi="Times New Roman"/>
                <w:sz w:val="18"/>
                <w:szCs w:val="18"/>
                <w:b w:val="1"/>
                <w:bCs w:val="1"/>
                <w:color w:val="auto"/>
              </w:rPr>
              <w:t>8.Administration</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(a)</w:t>
            </w: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Administrator</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5"/>
              </w:rPr>
              <w:t>(b)</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Authority</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(c)</w:t>
            </w: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Binding Decisions</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5"/>
              </w:rPr>
              <w:t>(d)</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Delegation</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9.General Provisions</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(a)</w:t>
            </w: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Nontransferability</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5"/>
              </w:rPr>
              <w:t>(b)</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Accounts</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(c)</w:t>
            </w: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Upon Changes in Capitalization</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5"/>
              </w:rPr>
              <w:t>(d)</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Amendment or Termination</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(e)</w:t>
            </w: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Notices</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(f)</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Term of Plan</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5"/>
              </w:rPr>
              <w:t>(g)</w:t>
            </w: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Treatment of Plan Expenses</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5"/>
              </w:rPr>
              <w:t>(h)</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No Guarantee of Employment or Benefits</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3"/>
              </w:rPr>
              <w:t>(i)</w:t>
            </w: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Indemnification</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3"/>
              </w:rPr>
              <w:t>(j)</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Withholding</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114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65" w:name="page366"/>
    <w:bookmarkEnd w:id="3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(k)</w:t>
            </w:r>
          </w:p>
        </w:tc>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409A</w:t>
            </w:r>
          </w:p>
        </w:tc>
        <w:tc>
          <w:tcPr>
            <w:tcW w:w="4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w:t>
            </w: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Applicable Law</w:t>
            </w:r>
          </w:p>
        </w:tc>
        <w:tc>
          <w:tcPr>
            <w:tcW w:w="4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(m)</w:t>
            </w:r>
          </w:p>
        </w:tc>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4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9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w:t>
            </w: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Headings</w:t>
            </w:r>
          </w:p>
        </w:tc>
        <w:tc>
          <w:tcPr>
            <w:tcW w:w="4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80"/>
        </w:trPr>
        <w:tc>
          <w:tcPr>
            <w:tcW w:w="9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366" w:name="page367"/>
    <w:bookmarkEnd w:id="366"/>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Introduction</w:t>
      </w:r>
    </w:p>
    <w:p>
      <w:pPr>
        <w:spacing w:after="0" w:line="31" w:lineRule="exact"/>
        <w:rPr>
          <w:sz w:val="20"/>
          <w:szCs w:val="20"/>
          <w:color w:val="auto"/>
        </w:rPr>
      </w:pPr>
    </w:p>
    <w:p>
      <w:pPr>
        <w:ind w:left="820" w:right="240" w:firstLine="484"/>
        <w:spacing w:after="0" w:line="260" w:lineRule="auto"/>
        <w:tabs>
          <w:tab w:leader="none" w:pos="1775"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The purpose of the Plan is to provide Eligible Employees of a Participating Company with an opportunity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the Parent Company and to otherwise incentivize Eligible Employees.</w:t>
      </w:r>
    </w:p>
    <w:p>
      <w:pPr>
        <w:spacing w:after="0" w:line="177" w:lineRule="exact"/>
        <w:rPr>
          <w:rFonts w:ascii="Times New Roman" w:cs="Times New Roman" w:eastAsia="Times New Roman" w:hAnsi="Times New Roman"/>
          <w:sz w:val="18"/>
          <w:szCs w:val="18"/>
          <w:color w:val="auto"/>
        </w:rPr>
      </w:pPr>
    </w:p>
    <w:p>
      <w:pPr>
        <w:ind w:left="820" w:firstLine="484"/>
        <w:spacing w:after="0" w:line="255" w:lineRule="auto"/>
        <w:tabs>
          <w:tab w:leader="none" w:pos="1741"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Components</w:t>
      </w:r>
      <w:r>
        <w:rPr>
          <w:rFonts w:ascii="Times New Roman" w:cs="Times New Roman" w:eastAsia="Times New Roman" w:hAnsi="Times New Roman"/>
          <w:sz w:val="18"/>
          <w:szCs w:val="18"/>
          <w:color w:val="auto"/>
        </w:rPr>
        <w:t>. The Plan includes two components: a Section 423 of the Code component (the “</w:t>
      </w:r>
      <w:r>
        <w:rPr>
          <w:rFonts w:ascii="Times New Roman" w:cs="Times New Roman" w:eastAsia="Times New Roman" w:hAnsi="Times New Roman"/>
          <w:sz w:val="18"/>
          <w:szCs w:val="18"/>
          <w:u w:val="single" w:color="auto"/>
          <w:color w:val="auto"/>
        </w:rPr>
        <w:t>423 Component</w:t>
      </w:r>
      <w:r>
        <w:rPr>
          <w:rFonts w:ascii="Times New Roman" w:cs="Times New Roman" w:eastAsia="Times New Roman" w:hAnsi="Times New Roman"/>
          <w:sz w:val="18"/>
          <w:szCs w:val="18"/>
          <w:color w:val="auto"/>
        </w:rPr>
        <w:t>”) and a non-Section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423 of the Code component (the “</w:t>
      </w:r>
      <w:r>
        <w:rPr>
          <w:rFonts w:ascii="Times New Roman" w:cs="Times New Roman" w:eastAsia="Times New Roman" w:hAnsi="Times New Roman"/>
          <w:sz w:val="18"/>
          <w:szCs w:val="18"/>
          <w:u w:val="single" w:color="auto"/>
          <w:color w:val="auto"/>
        </w:rPr>
        <w:t>Non-423 Component</w:t>
      </w:r>
      <w:r>
        <w:rPr>
          <w:rFonts w:ascii="Times New Roman" w:cs="Times New Roman" w:eastAsia="Times New Roman" w:hAnsi="Times New Roman"/>
          <w:sz w:val="18"/>
          <w:szCs w:val="18"/>
          <w:color w:val="auto"/>
        </w:rPr>
        <w:t>”). It is the intention of the Company to have the 423 Component qualify as an “Employee Stock Purchase Plan” under Section 423 of the Code. The provisions of the 423 Component, accordingly, shall be construed so as to extend and limit participation in a manner consistent with the requirements of that section of the Code. In addition, the Plan authorizes the grant of options under the Non-423 Component that does not qualify as an “employee stock purchase plan” under Section 423 of the Code; such options shall be granted pursuant to rules, procedures or sub-plans adopted by the Administrator designed to achieve tax, securities laws or other objectives for a Participating Company and Eligible Employees. Except as otherwise provided herein, the Non-423 Component will be operated and administered in the same manner as the 423 Component.</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administration of the Plan, the following terms shall have the meanings indicated:</w:t>
      </w:r>
    </w:p>
    <w:p>
      <w:pPr>
        <w:spacing w:after="0" w:line="225" w:lineRule="exact"/>
        <w:rPr>
          <w:sz w:val="20"/>
          <w:szCs w:val="20"/>
          <w:color w:val="auto"/>
        </w:rPr>
      </w:pPr>
    </w:p>
    <w:p>
      <w:pPr>
        <w:ind w:left="1720" w:hanging="416"/>
        <w:spacing w:after="0"/>
        <w:tabs>
          <w:tab w:leader="none" w:pos="172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Committee designated by the Board to administer the Plan.</w:t>
      </w:r>
    </w:p>
    <w:p>
      <w:pPr>
        <w:spacing w:after="0" w:line="225" w:lineRule="exact"/>
        <w:rPr>
          <w:rFonts w:ascii="Times New Roman" w:cs="Times New Roman" w:eastAsia="Times New Roman" w:hAnsi="Times New Roman"/>
          <w:sz w:val="18"/>
          <w:szCs w:val="18"/>
          <w:color w:val="auto"/>
        </w:rPr>
      </w:pPr>
    </w:p>
    <w:p>
      <w:pPr>
        <w:ind w:left="820" w:right="280" w:firstLine="484"/>
        <w:spacing w:after="0" w:line="282" w:lineRule="auto"/>
        <w:tabs>
          <w:tab w:leader="none" w:pos="174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ADR</w:t>
      </w:r>
      <w:r>
        <w:rPr>
          <w:rFonts w:ascii="Times New Roman" w:cs="Times New Roman" w:eastAsia="Times New Roman" w:hAnsi="Times New Roman"/>
          <w:sz w:val="18"/>
          <w:szCs w:val="18"/>
          <w:color w:val="auto"/>
        </w:rPr>
        <w:t>” means a negotiable certificate that evidences an ownership interest in an American Depositary Share corresponding to a Share or Shares, as applicable.</w:t>
      </w:r>
    </w:p>
    <w:p>
      <w:pPr>
        <w:spacing w:after="0" w:line="161" w:lineRule="exact"/>
        <w:rPr>
          <w:rFonts w:ascii="Times New Roman" w:cs="Times New Roman" w:eastAsia="Times New Roman" w:hAnsi="Times New Roman"/>
          <w:sz w:val="18"/>
          <w:szCs w:val="18"/>
          <w:color w:val="auto"/>
        </w:rPr>
      </w:pPr>
    </w:p>
    <w:p>
      <w:pPr>
        <w:ind w:left="820" w:right="80" w:firstLine="484"/>
        <w:spacing w:after="0" w:line="266" w:lineRule="auto"/>
        <w:tabs>
          <w:tab w:leader="none" w:pos="173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(i) any entity that, directly or indirectly, is controlled by controls or is under common control with, the Company and (ii) any entity in which the Company has a significant equity interest, in either case as determined by the Administrator, whether now or hereafter existing.</w:t>
      </w:r>
    </w:p>
    <w:p>
      <w:pPr>
        <w:spacing w:after="0" w:line="175" w:lineRule="exact"/>
        <w:rPr>
          <w:rFonts w:ascii="Times New Roman" w:cs="Times New Roman" w:eastAsia="Times New Roman" w:hAnsi="Times New Roman"/>
          <w:sz w:val="18"/>
          <w:szCs w:val="18"/>
          <w:color w:val="auto"/>
        </w:rPr>
      </w:pPr>
    </w:p>
    <w:p>
      <w:pPr>
        <w:ind w:left="820" w:right="480" w:firstLine="484"/>
        <w:spacing w:after="0" w:line="282" w:lineRule="auto"/>
        <w:tabs>
          <w:tab w:leader="none" w:pos="174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Pay</w:t>
      </w:r>
      <w:r>
        <w:rPr>
          <w:rFonts w:ascii="Times New Roman" w:cs="Times New Roman" w:eastAsia="Times New Roman" w:hAnsi="Times New Roman"/>
          <w:sz w:val="18"/>
          <w:szCs w:val="18"/>
          <w:color w:val="auto"/>
        </w:rPr>
        <w:t>” shall mean regular base pay as of the applicable payroll date and shall not include overtime pay, bonuses or other additional payments.</w:t>
      </w:r>
    </w:p>
    <w:p>
      <w:pPr>
        <w:spacing w:after="0" w:line="161" w:lineRule="exact"/>
        <w:rPr>
          <w:rFonts w:ascii="Times New Roman" w:cs="Times New Roman" w:eastAsia="Times New Roman" w:hAnsi="Times New Roman"/>
          <w:sz w:val="18"/>
          <w:szCs w:val="18"/>
          <w:color w:val="auto"/>
        </w:rPr>
      </w:pPr>
    </w:p>
    <w:p>
      <w:pPr>
        <w:ind w:left="1720" w:hanging="416"/>
        <w:spacing w:after="0"/>
        <w:tabs>
          <w:tab w:leader="none" w:pos="172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Parent Company.</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 and the regulations and interpretations promulgated</w:t>
      </w:r>
    </w:p>
    <w:p>
      <w:pPr>
        <w:spacing w:after="0" w:line="27"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206" w:lineRule="exact"/>
        <w:rPr>
          <w:rFonts w:ascii="Times New Roman" w:cs="Times New Roman" w:eastAsia="Times New Roman" w:hAnsi="Times New Roman"/>
          <w:sz w:val="18"/>
          <w:szCs w:val="18"/>
          <w:color w:val="auto"/>
        </w:rPr>
      </w:pPr>
    </w:p>
    <w:p>
      <w:pPr>
        <w:ind w:left="820" w:right="360" w:firstLine="484"/>
        <w:spacing w:after="0" w:line="266" w:lineRule="auto"/>
        <w:tabs>
          <w:tab w:leader="none" w:pos="174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person or group of persons appointed by the Board to administer the Plan. For purposes of the Plan, reference to the Committee will be deemed to refer to any subcommittee, subcommittees, or other person or groups of persons to whom the Committee delegates authority pursuant to the Plan.</w:t>
      </w:r>
    </w:p>
    <w:p>
      <w:pPr>
        <w:spacing w:after="0" w:line="175" w:lineRule="exact"/>
        <w:rPr>
          <w:rFonts w:ascii="Times New Roman" w:cs="Times New Roman" w:eastAsia="Times New Roman" w:hAnsi="Times New Roman"/>
          <w:sz w:val="18"/>
          <w:szCs w:val="18"/>
          <w:color w:val="auto"/>
        </w:rPr>
      </w:pPr>
    </w:p>
    <w:p>
      <w:pPr>
        <w:ind w:left="820" w:right="100" w:firstLine="484"/>
        <w:spacing w:after="0" w:line="282" w:lineRule="auto"/>
        <w:tabs>
          <w:tab w:leader="none" w:pos="174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Telix Pharmaceuticals (US) Inc., a Delaware corporation, and any corporate successor to all or substantially all of the assets or voting stock of Telix Pharmaceuticals (US) Inc., which shall by appropriate action adopt the Plan.</w:t>
      </w:r>
    </w:p>
    <w:p>
      <w:pPr>
        <w:spacing w:after="0" w:line="161" w:lineRule="exact"/>
        <w:rPr>
          <w:rFonts w:ascii="Times New Roman" w:cs="Times New Roman" w:eastAsia="Times New Roman" w:hAnsi="Times New Roman"/>
          <w:sz w:val="18"/>
          <w:szCs w:val="18"/>
          <w:color w:val="auto"/>
        </w:rPr>
      </w:pPr>
    </w:p>
    <w:p>
      <w:pPr>
        <w:ind w:left="820" w:right="160" w:firstLine="484"/>
        <w:spacing w:after="0" w:line="261" w:lineRule="auto"/>
        <w:tabs>
          <w:tab w:leader="none" w:pos="174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Contribution Period</w:t>
      </w:r>
      <w:r>
        <w:rPr>
          <w:rFonts w:ascii="Times New Roman" w:cs="Times New Roman" w:eastAsia="Times New Roman" w:hAnsi="Times New Roman"/>
          <w:sz w:val="18"/>
          <w:szCs w:val="18"/>
          <w:color w:val="auto"/>
        </w:rPr>
        <w:t>” shall mean the six-month period commencing on or around January 1 and July 1 each year during which payroll deductions are collected from Participants and accumulated under the Plan for an applicable Offering Period; provided that, the Administrator may, in its discretion, change the duration of future Contribution Periods, the frequency of future Contribution Periods, the start dates of future Contribution Periods, and the end dates of future Contribution Periods.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7" w:name="page368"/>
    <w:bookmarkEnd w:id="367"/>
    <w:p>
      <w:pPr>
        <w:ind w:right="100" w:firstLine="484"/>
        <w:spacing w:after="0" w:line="266" w:lineRule="auto"/>
        <w:tabs>
          <w:tab w:leader="none" w:pos="881"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Contributions</w:t>
      </w:r>
      <w:r>
        <w:rPr>
          <w:rFonts w:ascii="Times New Roman" w:cs="Times New Roman" w:eastAsia="Times New Roman" w:hAnsi="Times New Roman"/>
          <w:sz w:val="18"/>
          <w:szCs w:val="18"/>
          <w:color w:val="auto"/>
        </w:rPr>
        <w:t>” means the payroll deductions or, if permitted by the Administrator or its delegate to comply with non-U.S. requirements for the Non-423 Component, amounts contributed to the Plan via cash, check or other means, used to fund the exercise of options granted pursuant to the Plan.</w:t>
      </w:r>
    </w:p>
    <w:p>
      <w:pPr>
        <w:spacing w:after="0" w:line="175" w:lineRule="exact"/>
        <w:rPr>
          <w:rFonts w:ascii="Times New Roman" w:cs="Times New Roman" w:eastAsia="Times New Roman" w:hAnsi="Times New Roman"/>
          <w:sz w:val="18"/>
          <w:szCs w:val="18"/>
          <w:color w:val="auto"/>
        </w:rPr>
      </w:pPr>
    </w:p>
    <w:p>
      <w:pPr>
        <w:ind w:left="920" w:hanging="436"/>
        <w:spacing w:after="0"/>
        <w:tabs>
          <w:tab w:leader="none" w:pos="9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be the date the Plan is approved by the Parent Company’s shareholders.</w:t>
      </w:r>
    </w:p>
    <w:p>
      <w:pPr>
        <w:spacing w:after="0" w:line="225" w:lineRule="exact"/>
        <w:rPr>
          <w:rFonts w:ascii="Times New Roman" w:cs="Times New Roman" w:eastAsia="Times New Roman" w:hAnsi="Times New Roman"/>
          <w:sz w:val="18"/>
          <w:szCs w:val="18"/>
          <w:color w:val="auto"/>
        </w:rPr>
      </w:pPr>
    </w:p>
    <w:p>
      <w:pPr>
        <w:ind w:right="80" w:firstLine="484"/>
        <w:spacing w:after="0" w:line="282" w:lineRule="auto"/>
        <w:tabs>
          <w:tab w:leader="none" w:pos="881"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Employee</w:t>
      </w:r>
      <w:r>
        <w:rPr>
          <w:rFonts w:ascii="Times New Roman" w:cs="Times New Roman" w:eastAsia="Times New Roman" w:hAnsi="Times New Roman"/>
          <w:sz w:val="18"/>
          <w:szCs w:val="18"/>
          <w:color w:val="auto"/>
        </w:rPr>
        <w:t>” shall mean an Employee who has been continuously employed by a Participating Company for at least six (6) months prior to the Enrollment Period and whose customary employment is twenty (20) or more hours per week.</w:t>
      </w:r>
    </w:p>
    <w:p>
      <w:pPr>
        <w:spacing w:after="0" w:line="161" w:lineRule="exact"/>
        <w:rPr>
          <w:rFonts w:ascii="Times New Roman" w:cs="Times New Roman" w:eastAsia="Times New Roman" w:hAnsi="Times New Roman"/>
          <w:sz w:val="18"/>
          <w:szCs w:val="18"/>
          <w:color w:val="auto"/>
        </w:rPr>
      </w:pPr>
    </w:p>
    <w:p>
      <w:pPr>
        <w:ind w:right="160" w:firstLine="484"/>
        <w:spacing w:after="0" w:line="282" w:lineRule="auto"/>
        <w:tabs>
          <w:tab w:leader="none" w:pos="971"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shall mean any person who renders services to a Participating Company as an employee pursuant to an employment relationship with such Employer.</w:t>
      </w:r>
    </w:p>
    <w:p>
      <w:pPr>
        <w:spacing w:after="0" w:line="161" w:lineRule="exact"/>
        <w:rPr>
          <w:rFonts w:ascii="Times New Roman" w:cs="Times New Roman" w:eastAsia="Times New Roman" w:hAnsi="Times New Roman"/>
          <w:sz w:val="18"/>
          <w:szCs w:val="18"/>
          <w:color w:val="auto"/>
        </w:rPr>
      </w:pPr>
    </w:p>
    <w:p>
      <w:pPr>
        <w:ind w:firstLine="484"/>
        <w:spacing w:after="0" w:line="282" w:lineRule="auto"/>
        <w:tabs>
          <w:tab w:leader="none" w:pos="921"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means, with respect to an Offering Period, the entity to which an Employee renders service pursuant to an employment relationship, be it the Company or another Participating Company.</w:t>
      </w:r>
    </w:p>
    <w:p>
      <w:pPr>
        <w:spacing w:after="0" w:line="161" w:lineRule="exact"/>
        <w:rPr>
          <w:rFonts w:ascii="Times New Roman" w:cs="Times New Roman" w:eastAsia="Times New Roman" w:hAnsi="Times New Roman"/>
          <w:sz w:val="18"/>
          <w:szCs w:val="18"/>
          <w:color w:val="auto"/>
        </w:rPr>
      </w:pPr>
    </w:p>
    <w:p>
      <w:pPr>
        <w:ind w:firstLine="484"/>
        <w:spacing w:after="0" w:line="266" w:lineRule="auto"/>
        <w:tabs>
          <w:tab w:leader="none" w:pos="921"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Enrollment Agreement</w:t>
      </w:r>
      <w:r>
        <w:rPr>
          <w:rFonts w:ascii="Times New Roman" w:cs="Times New Roman" w:eastAsia="Times New Roman" w:hAnsi="Times New Roman"/>
          <w:sz w:val="18"/>
          <w:szCs w:val="18"/>
          <w:color w:val="auto"/>
        </w:rPr>
        <w:t>” means the form, rules, or procedure established by the Company from time to time and used by Employees to enroll in the Plan or to change Contribution elections under the Plan. The Company may, in its discretion, determine whether such agreement shall be in written form or electronic form.</w:t>
      </w:r>
    </w:p>
    <w:p>
      <w:pPr>
        <w:spacing w:after="0" w:line="175" w:lineRule="exact"/>
        <w:rPr>
          <w:rFonts w:ascii="Times New Roman" w:cs="Times New Roman" w:eastAsia="Times New Roman" w:hAnsi="Times New Roman"/>
          <w:sz w:val="18"/>
          <w:szCs w:val="18"/>
          <w:color w:val="auto"/>
        </w:rPr>
      </w:pPr>
    </w:p>
    <w:p>
      <w:pPr>
        <w:ind w:left="920" w:hanging="436"/>
        <w:spacing w:after="0"/>
        <w:tabs>
          <w:tab w:leader="none" w:pos="9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Enrollment Date</w:t>
      </w:r>
      <w:r>
        <w:rPr>
          <w:rFonts w:ascii="Times New Roman" w:cs="Times New Roman" w:eastAsia="Times New Roman" w:hAnsi="Times New Roman"/>
          <w:sz w:val="18"/>
          <w:szCs w:val="18"/>
          <w:color w:val="auto"/>
        </w:rPr>
        <w:t>” shall mean the first day of each Plan Year.</w:t>
      </w:r>
    </w:p>
    <w:p>
      <w:pPr>
        <w:spacing w:after="0" w:line="225" w:lineRule="exact"/>
        <w:rPr>
          <w:rFonts w:ascii="Times New Roman" w:cs="Times New Roman" w:eastAsia="Times New Roman" w:hAnsi="Times New Roman"/>
          <w:sz w:val="18"/>
          <w:szCs w:val="18"/>
          <w:color w:val="auto"/>
        </w:rPr>
      </w:pPr>
    </w:p>
    <w:p>
      <w:pPr>
        <w:ind w:right="100" w:firstLine="484"/>
        <w:spacing w:after="0" w:line="282" w:lineRule="auto"/>
        <w:tabs>
          <w:tab w:leader="none" w:pos="921"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Enrollment Period</w:t>
      </w:r>
      <w:r>
        <w:rPr>
          <w:rFonts w:ascii="Times New Roman" w:cs="Times New Roman" w:eastAsia="Times New Roman" w:hAnsi="Times New Roman"/>
          <w:sz w:val="18"/>
          <w:szCs w:val="18"/>
          <w:color w:val="auto"/>
        </w:rPr>
        <w:t>” shall mean the period specified by the Company during which Eligible Employees may elect to participate in the Plan as of the upcoming Enrollment Date.</w:t>
      </w:r>
    </w:p>
    <w:p>
      <w:pPr>
        <w:spacing w:after="0" w:line="161" w:lineRule="exact"/>
        <w:rPr>
          <w:rFonts w:ascii="Times New Roman" w:cs="Times New Roman" w:eastAsia="Times New Roman" w:hAnsi="Times New Roman"/>
          <w:sz w:val="18"/>
          <w:szCs w:val="18"/>
          <w:color w:val="auto"/>
        </w:rPr>
      </w:pPr>
    </w:p>
    <w:p>
      <w:pPr>
        <w:ind w:left="880" w:hanging="396"/>
        <w:spacing w:after="0"/>
        <w:tabs>
          <w:tab w:leader="none" w:pos="8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U.S. Securities Exchange Act of 1934, as amended, including the rules and regulations promulgated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206" w:lineRule="exact"/>
        <w:rPr>
          <w:rFonts w:ascii="Times New Roman" w:cs="Times New Roman" w:eastAsia="Times New Roman" w:hAnsi="Times New Roman"/>
          <w:sz w:val="18"/>
          <w:szCs w:val="18"/>
          <w:color w:val="auto"/>
        </w:rPr>
      </w:pPr>
    </w:p>
    <w:p>
      <w:pPr>
        <w:ind w:left="860" w:hanging="376"/>
        <w:spacing w:after="0"/>
        <w:tabs>
          <w:tab w:leader="none" w:pos="8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shall mean the last Trading Day of each Offering Period.</w:t>
      </w:r>
    </w:p>
    <w:p>
      <w:pPr>
        <w:spacing w:after="0" w:line="225" w:lineRule="exact"/>
        <w:rPr>
          <w:rFonts w:ascii="Times New Roman" w:cs="Times New Roman" w:eastAsia="Times New Roman" w:hAnsi="Times New Roman"/>
          <w:sz w:val="18"/>
          <w:szCs w:val="18"/>
          <w:color w:val="auto"/>
        </w:rPr>
      </w:pPr>
    </w:p>
    <w:p>
      <w:pPr>
        <w:ind w:left="880" w:hanging="396"/>
        <w:spacing w:after="0"/>
        <w:tabs>
          <w:tab w:leader="none" w:pos="8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and unless the Administrator determines otherwise, the value of a Share determined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06" w:lineRule="exact"/>
        <w:rPr>
          <w:rFonts w:ascii="Times New Roman" w:cs="Times New Roman" w:eastAsia="Times New Roman" w:hAnsi="Times New Roman"/>
          <w:sz w:val="18"/>
          <w:szCs w:val="18"/>
          <w:color w:val="auto"/>
        </w:rPr>
      </w:pPr>
    </w:p>
    <w:p>
      <w:pPr>
        <w:jc w:val="both"/>
        <w:ind w:left="480" w:right="200" w:firstLine="490"/>
        <w:spacing w:after="0" w:line="261" w:lineRule="auto"/>
        <w:tabs>
          <w:tab w:leader="none" w:pos="1361"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listed on any established stock exchange or a national market system, including without limitation the Australian Securities Exchange Ltd, the New York Stock Exchange, or the Nasdaq Stock Market, its Fair Market Value will be the closing sales price for such stock (or the closing bid, if no sales were reported) as quoted on such exchange or system on the applicable date;</w:t>
      </w:r>
    </w:p>
    <w:p>
      <w:pPr>
        <w:spacing w:after="0" w:line="179" w:lineRule="exact"/>
        <w:rPr>
          <w:rFonts w:ascii="Times New Roman" w:cs="Times New Roman" w:eastAsia="Times New Roman" w:hAnsi="Times New Roman"/>
          <w:sz w:val="18"/>
          <w:szCs w:val="18"/>
          <w:color w:val="auto"/>
        </w:rPr>
      </w:pPr>
    </w:p>
    <w:p>
      <w:pPr>
        <w:ind w:left="480" w:right="60" w:firstLine="490"/>
        <w:spacing w:after="0" w:line="266" w:lineRule="auto"/>
        <w:tabs>
          <w:tab w:leader="none" w:pos="1366"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regularly quoted by a recognized securities dealer but selling prices are not reported, its Fair Market Value will be the mean between the high bid and low asked prices for the Shares on the applicable date (or if no bids and asks were reported on that date, as applicable, on the last Trading Day such bids and asks were reported); or</w:t>
      </w:r>
    </w:p>
    <w:p>
      <w:pPr>
        <w:spacing w:after="0" w:line="175" w:lineRule="exact"/>
        <w:rPr>
          <w:rFonts w:ascii="Times New Roman" w:cs="Times New Roman" w:eastAsia="Times New Roman" w:hAnsi="Times New Roman"/>
          <w:sz w:val="18"/>
          <w:szCs w:val="18"/>
          <w:color w:val="auto"/>
        </w:rPr>
      </w:pPr>
    </w:p>
    <w:p>
      <w:pPr>
        <w:ind w:left="480" w:right="320" w:firstLine="490"/>
        <w:spacing w:after="0" w:line="282" w:lineRule="auto"/>
        <w:tabs>
          <w:tab w:leader="none" w:pos="1371"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market price as the Administrator may determine in conformity with pertinent law and regulations of the U.S. Treasury Department.</w:t>
      </w:r>
    </w:p>
    <w:p>
      <w:pPr>
        <w:spacing w:after="0" w:line="33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40640</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1140" w:top="121" w:right="359" w:bottom="1440" w:gutter="0" w:footer="0" w:header="0"/>
        </w:sectPr>
      </w:pPr>
    </w:p>
    <w:bookmarkStart w:id="368" w:name="page369"/>
    <w:bookmarkEnd w:id="368"/>
    <w:p>
      <w:pPr>
        <w:jc w:val="both"/>
        <w:ind w:firstLine="484"/>
        <w:spacing w:after="0" w:line="261" w:lineRule="auto"/>
        <w:tabs>
          <w:tab w:leader="none" w:pos="92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means the grant of options to an Eligible Employee to purchase Shares during an Offering Period in accordance with the Plan. For the purposes of this Plan, the Administrator may designate separate Offerings under the Plan (the terms of which need not be identical) in which Eligible Employees of a Participating Company will participate, even if the dates of the applicable Offering Periods of each such Offering are identical.</w:t>
      </w:r>
    </w:p>
    <w:p>
      <w:pPr>
        <w:spacing w:after="0" w:line="179" w:lineRule="exact"/>
        <w:rPr>
          <w:rFonts w:ascii="Times New Roman" w:cs="Times New Roman" w:eastAsia="Times New Roman" w:hAnsi="Times New Roman"/>
          <w:sz w:val="18"/>
          <w:szCs w:val="18"/>
          <w:color w:val="auto"/>
        </w:rPr>
      </w:pPr>
    </w:p>
    <w:p>
      <w:pPr>
        <w:ind w:right="100" w:firstLine="484"/>
        <w:spacing w:after="0" w:line="256" w:lineRule="auto"/>
        <w:tabs>
          <w:tab w:leader="none" w:pos="92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Period</w:t>
      </w:r>
      <w:r>
        <w:rPr>
          <w:rFonts w:ascii="Times New Roman" w:cs="Times New Roman" w:eastAsia="Times New Roman" w:hAnsi="Times New Roman"/>
          <w:sz w:val="18"/>
          <w:szCs w:val="18"/>
          <w:color w:val="auto"/>
        </w:rPr>
        <w:t>” shall mean a period containing a Contribution Period or multiple Contribution Periods (i) commencing on or around January 1 and ending on or before September 30, or (ii) commencing on or around January 1 and ending on or before March 15; provided that, the Administrator may, in its discretion, change the duration of future Offering Periods, the frequency of future Offering Periods, the start dates of future Offering Periods, and the end dates of future Offering Periods. Offering Periods may commence at any time as determined by the Administrator, including consecutive or concurrent quarterly or semi-annual intervals over the term of the Plan, and may consist of one or more Contribution Periods during which payroll deductions are collected from Participants and accumulated under the Plan.</w:t>
      </w:r>
    </w:p>
    <w:p>
      <w:pPr>
        <w:spacing w:after="0" w:line="187" w:lineRule="exact"/>
        <w:rPr>
          <w:rFonts w:ascii="Times New Roman" w:cs="Times New Roman" w:eastAsia="Times New Roman" w:hAnsi="Times New Roman"/>
          <w:sz w:val="18"/>
          <w:szCs w:val="18"/>
          <w:color w:val="auto"/>
        </w:rPr>
      </w:pPr>
    </w:p>
    <w:p>
      <w:pPr>
        <w:ind w:left="860" w:hanging="376"/>
        <w:spacing w:after="0"/>
        <w:tabs>
          <w:tab w:leader="none" w:pos="8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Company</w:t>
      </w:r>
      <w:r>
        <w:rPr>
          <w:rFonts w:ascii="Times New Roman" w:cs="Times New Roman" w:eastAsia="Times New Roman" w:hAnsi="Times New Roman"/>
          <w:sz w:val="18"/>
          <w:szCs w:val="18"/>
          <w:color w:val="auto"/>
        </w:rPr>
        <w:t>” means Telix Pharmaceuticals Limited, a company formed under the laws of Australia, or any of its successors.</w:t>
      </w:r>
    </w:p>
    <w:p>
      <w:pPr>
        <w:spacing w:after="0" w:line="225" w:lineRule="exact"/>
        <w:rPr>
          <w:rFonts w:ascii="Times New Roman" w:cs="Times New Roman" w:eastAsia="Times New Roman" w:hAnsi="Times New Roman"/>
          <w:sz w:val="18"/>
          <w:szCs w:val="18"/>
          <w:color w:val="auto"/>
        </w:rPr>
      </w:pPr>
    </w:p>
    <w:p>
      <w:pPr>
        <w:ind w:left="820" w:hanging="336"/>
        <w:spacing w:after="0"/>
        <w:tabs>
          <w:tab w:leader="none" w:pos="8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shall mean any Eligible Employee who completes an Enrollment Agreement and does not discontinue participation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206" w:lineRule="exact"/>
        <w:rPr>
          <w:rFonts w:ascii="Times New Roman" w:cs="Times New Roman" w:eastAsia="Times New Roman" w:hAnsi="Times New Roman"/>
          <w:sz w:val="18"/>
          <w:szCs w:val="18"/>
          <w:color w:val="auto"/>
        </w:rPr>
      </w:pPr>
    </w:p>
    <w:p>
      <w:pPr>
        <w:ind w:left="820" w:hanging="336"/>
        <w:spacing w:after="0"/>
        <w:tabs>
          <w:tab w:leader="none" w:pos="8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Company</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auto"/>
        </w:rPr>
      </w:pPr>
    </w:p>
    <w:p>
      <w:pPr>
        <w:ind w:left="640" w:right="320" w:firstLine="330"/>
        <w:spacing w:after="0" w:line="282" w:lineRule="auto"/>
        <w:tabs>
          <w:tab w:leader="none" w:pos="1269"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other Subsidiary Corporation of the Parent Company) that has been selected by the Administrator to have at least one Eligible Employee participate in an Offering under the 423 Component from time to time; and</w:t>
      </w:r>
    </w:p>
    <w:p>
      <w:pPr>
        <w:spacing w:after="0" w:line="161" w:lineRule="exact"/>
        <w:rPr>
          <w:rFonts w:ascii="Times New Roman" w:cs="Times New Roman" w:eastAsia="Times New Roman" w:hAnsi="Times New Roman"/>
          <w:sz w:val="18"/>
          <w:szCs w:val="18"/>
          <w:color w:val="auto"/>
        </w:rPr>
      </w:pPr>
    </w:p>
    <w:p>
      <w:pPr>
        <w:ind w:left="640" w:right="360" w:firstLine="330"/>
        <w:spacing w:after="0" w:line="282" w:lineRule="auto"/>
        <w:tabs>
          <w:tab w:leader="none" w:pos="1319"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 of the Parent Company designated by the Administrator in its sole discretion as participating in an Offering under the Non-423 Component of the Plan.</w:t>
      </w:r>
    </w:p>
    <w:p>
      <w:pPr>
        <w:spacing w:after="0" w:line="161" w:lineRule="exact"/>
        <w:rPr>
          <w:rFonts w:ascii="Times New Roman" w:cs="Times New Roman" w:eastAsia="Times New Roman" w:hAnsi="Times New Roman"/>
          <w:sz w:val="18"/>
          <w:szCs w:val="18"/>
          <w:color w:val="auto"/>
        </w:rPr>
      </w:pPr>
    </w:p>
    <w:p>
      <w:pPr>
        <w:ind w:left="820" w:hanging="336"/>
        <w:spacing w:after="0"/>
        <w:tabs>
          <w:tab w:leader="none" w:pos="8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the Telix Pharmaceuticals (US) Inc. Employee Stock Purchase Plan Rules, as may be amended from time to time.</w:t>
      </w:r>
    </w:p>
    <w:p>
      <w:pPr>
        <w:spacing w:after="0" w:line="225" w:lineRule="exact"/>
        <w:rPr>
          <w:sz w:val="20"/>
          <w:szCs w:val="20"/>
          <w:color w:val="auto"/>
        </w:rPr>
      </w:pPr>
    </w:p>
    <w:p>
      <w:pPr>
        <w:ind w:left="860" w:hanging="376"/>
        <w:spacing w:after="0"/>
        <w:tabs>
          <w:tab w:leader="none" w:pos="8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Year</w:t>
      </w:r>
      <w:r>
        <w:rPr>
          <w:rFonts w:ascii="Times New Roman" w:cs="Times New Roman" w:eastAsia="Times New Roman" w:hAnsi="Times New Roman"/>
          <w:sz w:val="18"/>
          <w:szCs w:val="18"/>
          <w:color w:val="auto"/>
        </w:rPr>
        <w:t>” means the calendar year or such shorter period as determined by the Administrator.</w:t>
      </w:r>
    </w:p>
    <w:p>
      <w:pPr>
        <w:spacing w:after="0" w:line="225" w:lineRule="exact"/>
        <w:rPr>
          <w:rFonts w:ascii="Times New Roman" w:cs="Times New Roman" w:eastAsia="Times New Roman" w:hAnsi="Times New Roman"/>
          <w:sz w:val="18"/>
          <w:szCs w:val="18"/>
          <w:color w:val="auto"/>
        </w:rPr>
      </w:pPr>
    </w:p>
    <w:p>
      <w:pPr>
        <w:jc w:val="both"/>
        <w:ind w:firstLine="484"/>
        <w:spacing w:after="0" w:line="266" w:lineRule="auto"/>
        <w:tabs>
          <w:tab w:leader="none" w:pos="93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shall mean an amount equal to eighty-five percent (85%) (or such greater percentage, if determined by the Administrator prior to a particular Offering Period) of the Fair Market Value of a Share as of the first Trading Day or the last Trading Day of the Offering Period, whichever is less.</w:t>
      </w:r>
    </w:p>
    <w:p>
      <w:pPr>
        <w:spacing w:after="0" w:line="175" w:lineRule="exact"/>
        <w:rPr>
          <w:rFonts w:ascii="Times New Roman" w:cs="Times New Roman" w:eastAsia="Times New Roman" w:hAnsi="Times New Roman"/>
          <w:sz w:val="18"/>
          <w:szCs w:val="18"/>
          <w:color w:val="auto"/>
        </w:rPr>
      </w:pPr>
    </w:p>
    <w:p>
      <w:pPr>
        <w:ind w:firstLine="484"/>
        <w:spacing w:after="0" w:line="282" w:lineRule="auto"/>
        <w:tabs>
          <w:tab w:leader="none" w:pos="95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an ordinary share of the Parent Company or an ADR corresponding to such share, as determined by the Administrator consistent with the Plan.</w:t>
      </w:r>
    </w:p>
    <w:p>
      <w:pPr>
        <w:spacing w:after="0" w:line="161" w:lineRule="exact"/>
        <w:rPr>
          <w:rFonts w:ascii="Times New Roman" w:cs="Times New Roman" w:eastAsia="Times New Roman" w:hAnsi="Times New Roman"/>
          <w:sz w:val="18"/>
          <w:szCs w:val="18"/>
          <w:color w:val="auto"/>
        </w:rPr>
      </w:pPr>
    </w:p>
    <w:p>
      <w:pPr>
        <w:ind w:left="840" w:hanging="356"/>
        <w:spacing w:after="0"/>
        <w:tabs>
          <w:tab w:leader="none" w:pos="8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Corporation</w:t>
      </w:r>
      <w:r>
        <w:rPr>
          <w:rFonts w:ascii="Times New Roman" w:cs="Times New Roman" w:eastAsia="Times New Roman" w:hAnsi="Times New Roman"/>
          <w:sz w:val="18"/>
          <w:szCs w:val="18"/>
          <w:color w:val="auto"/>
        </w:rPr>
        <w:t>” means a subsidiary corporation of the Parent Company meaning as contained in Section 424(f)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w:t>
      </w:r>
    </w:p>
    <w:p>
      <w:pPr>
        <w:spacing w:after="0" w:line="206" w:lineRule="exact"/>
        <w:rPr>
          <w:rFonts w:ascii="Times New Roman" w:cs="Times New Roman" w:eastAsia="Times New Roman" w:hAnsi="Times New Roman"/>
          <w:sz w:val="18"/>
          <w:szCs w:val="18"/>
          <w:color w:val="auto"/>
        </w:rPr>
      </w:pPr>
    </w:p>
    <w:p>
      <w:pPr>
        <w:jc w:val="both"/>
        <w:ind w:firstLine="484"/>
        <w:spacing w:after="0" w:line="266" w:lineRule="auto"/>
        <w:tabs>
          <w:tab w:leader="none" w:pos="85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shall mean a day on which the securities exchange on which the Share is listed or admitted to trading is open for the transaction of business or, if the Share is not listed on an established stock exchange or national market system, a business day, as determined by the Administrator in good faith.</w:t>
      </w:r>
    </w:p>
    <w:p>
      <w:pPr>
        <w:spacing w:after="0" w:line="175" w:lineRule="exact"/>
        <w:rPr>
          <w:rFonts w:ascii="Times New Roman" w:cs="Times New Roman" w:eastAsia="Times New Roman" w:hAnsi="Times New Roman"/>
          <w:sz w:val="18"/>
          <w:szCs w:val="18"/>
          <w:color w:val="auto"/>
        </w:rPr>
      </w:pPr>
    </w:p>
    <w:p>
      <w:pPr>
        <w:ind w:left="1180" w:hanging="696"/>
        <w:spacing w:after="0"/>
        <w:tabs>
          <w:tab w:leader="none" w:pos="11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w:t>
      </w:r>
    </w:p>
    <w:p>
      <w:pPr>
        <w:spacing w:after="0" w:line="39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40640</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1140" w:top="121" w:right="339" w:bottom="1440" w:gutter="0" w:footer="0" w:header="0"/>
        </w:sectPr>
      </w:pPr>
    </w:p>
    <w:bookmarkStart w:id="369" w:name="page370"/>
    <w:bookmarkEnd w:id="369"/>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Eligibility</w:t>
      </w:r>
    </w:p>
    <w:p>
      <w:pPr>
        <w:spacing w:after="0" w:line="225" w:lineRule="exact"/>
        <w:rPr>
          <w:sz w:val="20"/>
          <w:szCs w:val="20"/>
          <w:color w:val="auto"/>
        </w:rPr>
      </w:pPr>
    </w:p>
    <w:p>
      <w:pPr>
        <w:jc w:val="both"/>
        <w:ind w:left="820" w:right="80" w:firstLine="484"/>
        <w:spacing w:after="0" w:line="262" w:lineRule="auto"/>
        <w:tabs>
          <w:tab w:leader="none" w:pos="1685"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Broad-Based Stock Plan</w:t>
      </w:r>
      <w:r>
        <w:rPr>
          <w:rFonts w:ascii="Times New Roman" w:cs="Times New Roman" w:eastAsia="Times New Roman" w:hAnsi="Times New Roman"/>
          <w:sz w:val="18"/>
          <w:szCs w:val="18"/>
          <w:color w:val="auto"/>
        </w:rPr>
        <w:t>. Unless otherwise determined by the Administrator (in a manner consistent with Section 423 of the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Offerings under the 423 Component), any individual who is an Eligible Employee of a Participating Company as of the Enrollment Date for a particular Offering Period shall be eligible to participate in such Offering Period, subject to the requirements of Section 423 of the Code for Offerings under the 423 Component.</w:t>
      </w:r>
    </w:p>
    <w:p>
      <w:pPr>
        <w:spacing w:after="0" w:line="176" w:lineRule="exact"/>
        <w:rPr>
          <w:rFonts w:ascii="Times New Roman" w:cs="Times New Roman" w:eastAsia="Times New Roman" w:hAnsi="Times New Roman"/>
          <w:sz w:val="18"/>
          <w:szCs w:val="18"/>
          <w:color w:val="auto"/>
        </w:rPr>
      </w:pPr>
    </w:p>
    <w:p>
      <w:pPr>
        <w:jc w:val="both"/>
        <w:ind w:left="820" w:firstLine="484"/>
        <w:spacing w:after="0" w:line="255" w:lineRule="auto"/>
        <w:tabs>
          <w:tab w:leader="none" w:pos="1768"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Limitations</w:t>
      </w:r>
      <w:r>
        <w:rPr>
          <w:rFonts w:ascii="Times New Roman" w:cs="Times New Roman" w:eastAsia="Times New Roman" w:hAnsi="Times New Roman"/>
          <w:sz w:val="18"/>
          <w:szCs w:val="18"/>
          <w:color w:val="auto"/>
        </w:rPr>
        <w:t>. Notwithstanding any provisions of the Plan to the contrary, no Employee shall be granted an option to participate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(i) to the extent that, immediately after the grant, such Employee (or any other person whose stock would be attributed to such Employee pursuant to Section 424(d) of the Code) would own stock and/or hold outstanding options to purchase such stock possessing five percent (5%) or more of the total combined voting power or value of all classes of stock of the Parent Corporation or any Subsidiary Corporation, or (ii) to the extent that such Employee’s rights to purchase stock under all employee stock purchase plans of the Parent Corporation and any Subsidiary Corporation accrues at a rate which exceeds Twenty-Five Thousand U.S. dollars (USD $25,000) worth of stock (determined at the Fair Market Value of the Shares as of the beginning of each Offering Period) for each calendar year in which such option is outstanding at any time. These limitations are in addition to any other limitations set forth herein.</w:t>
      </w:r>
    </w:p>
    <w:p>
      <w:pPr>
        <w:spacing w:after="0" w:line="184"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Participation</w:t>
      </w:r>
    </w:p>
    <w:p>
      <w:pPr>
        <w:spacing w:after="0" w:line="225" w:lineRule="exact"/>
        <w:rPr>
          <w:rFonts w:ascii="Times New Roman" w:cs="Times New Roman" w:eastAsia="Times New Roman" w:hAnsi="Times New Roman"/>
          <w:sz w:val="18"/>
          <w:szCs w:val="18"/>
          <w:b w:val="1"/>
          <w:bCs w:val="1"/>
          <w:color w:val="auto"/>
        </w:rPr>
      </w:pPr>
    </w:p>
    <w:p>
      <w:pPr>
        <w:ind w:left="820" w:right="80" w:firstLine="484"/>
        <w:spacing w:after="0" w:line="262" w:lineRule="auto"/>
        <w:tabs>
          <w:tab w:leader="none" w:pos="1685"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Enrollment Agreement</w:t>
      </w:r>
      <w:r>
        <w:rPr>
          <w:rFonts w:ascii="Times New Roman" w:cs="Times New Roman" w:eastAsia="Times New Roman" w:hAnsi="Times New Roman"/>
          <w:sz w:val="18"/>
          <w:szCs w:val="18"/>
          <w:color w:val="auto"/>
        </w:rPr>
        <w:t>. An Eligible Employee may become a Participant in the Plan by completing an Enrollment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an Enrollment Period in accordance with procedures established by the Company from time to time. A Participant’s Enrollment Agreement shall remain in effect from Offering Period to Offering Period, until the Participant’s termination of participation, or modification or discontinuance of Contributions consistent with the terms of the Plan and the applicable Enrollment Agreement.</w:t>
      </w:r>
    </w:p>
    <w:p>
      <w:pPr>
        <w:spacing w:after="0" w:line="176" w:lineRule="exact"/>
        <w:rPr>
          <w:rFonts w:ascii="Times New Roman" w:cs="Times New Roman" w:eastAsia="Times New Roman" w:hAnsi="Times New Roman"/>
          <w:sz w:val="18"/>
          <w:szCs w:val="18"/>
          <w:color w:val="auto"/>
        </w:rPr>
      </w:pPr>
    </w:p>
    <w:p>
      <w:pPr>
        <w:ind w:left="820" w:right="40" w:firstLine="484"/>
        <w:spacing w:after="0" w:line="259" w:lineRule="auto"/>
        <w:tabs>
          <w:tab w:leader="none" w:pos="1696"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After-Tax Contributions</w:t>
      </w:r>
      <w:r>
        <w:rPr>
          <w:rFonts w:ascii="Times New Roman" w:cs="Times New Roman" w:eastAsia="Times New Roman" w:hAnsi="Times New Roman"/>
          <w:sz w:val="18"/>
          <w:szCs w:val="18"/>
          <w:color w:val="auto"/>
        </w:rPr>
        <w:t>. By enrolling, a Participant is deemed to have elected to authorize payroll deductions on an after-tax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Except as otherwise provided by the Administrator, payroll deductions for a Participant shall begin on the first payroll following the Enrollment Date (subject to any Securities Dealing Policy, insider trading, or other policies of the Company as may be amended from time to time) and shall end on last payroll in the Contribution Period, or, if earlier, when the Enrollment Agreement is discontinued or terminated by the Participant as provided in Section 5(d) or Section 6(f) hereof.</w:t>
      </w:r>
    </w:p>
    <w:p>
      <w:pPr>
        <w:spacing w:after="0" w:line="179" w:lineRule="exact"/>
        <w:rPr>
          <w:rFonts w:ascii="Times New Roman" w:cs="Times New Roman" w:eastAsia="Times New Roman" w:hAnsi="Times New Roman"/>
          <w:sz w:val="18"/>
          <w:szCs w:val="18"/>
          <w:color w:val="auto"/>
        </w:rPr>
      </w:pPr>
    </w:p>
    <w:p>
      <w:pPr>
        <w:ind w:left="820" w:right="80" w:firstLine="484"/>
        <w:spacing w:after="0" w:line="268" w:lineRule="auto"/>
        <w:tabs>
          <w:tab w:leader="none" w:pos="1685"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Whole Shares</w:t>
      </w:r>
      <w:r>
        <w:rPr>
          <w:rFonts w:ascii="Times New Roman" w:cs="Times New Roman" w:eastAsia="Times New Roman" w:hAnsi="Times New Roman"/>
          <w:sz w:val="18"/>
          <w:szCs w:val="18"/>
          <w:color w:val="auto"/>
        </w:rPr>
        <w:t>. By enrolling, a Participant is deemed to have elected to purchase the number of whole Shares that can be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each Exercise Date during an Offering Period with the Contributions withheld and accumulated during the applicable Contribution Period since the preceding Exercise Date.</w:t>
      </w:r>
    </w:p>
    <w:p>
      <w:pPr>
        <w:spacing w:after="0" w:line="170"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Mandatory Participation</w:t>
      </w:r>
      <w:r>
        <w:rPr>
          <w:rFonts w:ascii="Times New Roman" w:cs="Times New Roman" w:eastAsia="Times New Roman" w:hAnsi="Times New Roman"/>
          <w:sz w:val="18"/>
          <w:szCs w:val="18"/>
          <w:color w:val="auto"/>
        </w:rPr>
        <w:t>. Participation in the Plan shall be entirely voluntary.</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Contributions</w:t>
      </w:r>
    </w:p>
    <w:p>
      <w:pPr>
        <w:spacing w:after="0" w:line="225" w:lineRule="exact"/>
        <w:rPr>
          <w:rFonts w:ascii="Times New Roman" w:cs="Times New Roman" w:eastAsia="Times New Roman" w:hAnsi="Times New Roman"/>
          <w:sz w:val="18"/>
          <w:szCs w:val="18"/>
          <w:b w:val="1"/>
          <w:bCs w:val="1"/>
          <w:color w:val="auto"/>
        </w:rPr>
      </w:pPr>
    </w:p>
    <w:p>
      <w:pPr>
        <w:ind w:left="820" w:right="120" w:firstLine="484"/>
        <w:spacing w:after="0" w:line="259" w:lineRule="auto"/>
        <w:tabs>
          <w:tab w:leader="none" w:pos="1685"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Elections</w:t>
      </w:r>
      <w:r>
        <w:rPr>
          <w:rFonts w:ascii="Times New Roman" w:cs="Times New Roman" w:eastAsia="Times New Roman" w:hAnsi="Times New Roman"/>
          <w:sz w:val="18"/>
          <w:szCs w:val="18"/>
          <w:color w:val="auto"/>
        </w:rPr>
        <w:t>. At the time a Participant completes an Enrollment Agreement, the Participant shall elect to have Contributions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two Contribution Periods during the Plan Year in an amount set forth in the Enrollment Agreement, to be expressed, at the sole discretion of the Company, as a U.S. Dollar amount with the minimum and/or maximum U.S. Dollar amount to be specified by the Company before the Contribution and Offering Period begins. For the 423 Component, any such restrictions established by the Company shall fall within the parameters of Section 423 of the Code.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0" w:name="page371"/>
    <w:bookmarkEnd w:id="370"/>
    <w:p>
      <w:pPr>
        <w:ind w:left="-300" w:right="40" w:firstLine="484"/>
        <w:spacing w:after="0" w:line="262" w:lineRule="auto"/>
        <w:tabs>
          <w:tab w:leader="none" w:pos="576"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Benefits</w:t>
      </w:r>
      <w:r>
        <w:rPr>
          <w:rFonts w:ascii="Times New Roman" w:cs="Times New Roman" w:eastAsia="Times New Roman" w:hAnsi="Times New Roman"/>
          <w:sz w:val="18"/>
          <w:szCs w:val="18"/>
          <w:color w:val="auto"/>
        </w:rPr>
        <w:t>. All deductions for this Plan shall be taken after all other deductions required by law or elected by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but not limited to, withholding for income and employment taxes, 401(k) deferrals and cafeteria plan contributions) have been taken and elections made under this Plan shall be effected only to the extent that there are sufficient amounts available to make deductions for this Plan after all other deductions are taken.</w:t>
      </w:r>
    </w:p>
    <w:p>
      <w:pPr>
        <w:spacing w:after="0" w:line="176" w:lineRule="exact"/>
        <w:rPr>
          <w:rFonts w:ascii="Times New Roman" w:cs="Times New Roman" w:eastAsia="Times New Roman" w:hAnsi="Times New Roman"/>
          <w:sz w:val="18"/>
          <w:szCs w:val="18"/>
          <w:color w:val="auto"/>
        </w:rPr>
      </w:pPr>
    </w:p>
    <w:p>
      <w:pPr>
        <w:ind w:left="-300" w:right="320" w:firstLine="484"/>
        <w:spacing w:after="0" w:line="262" w:lineRule="auto"/>
        <w:tabs>
          <w:tab w:leader="none" w:pos="56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Notional Account</w:t>
      </w:r>
      <w:r>
        <w:rPr>
          <w:rFonts w:ascii="Times New Roman" w:cs="Times New Roman" w:eastAsia="Times New Roman" w:hAnsi="Times New Roman"/>
          <w:sz w:val="18"/>
          <w:szCs w:val="18"/>
          <w:color w:val="auto"/>
        </w:rPr>
        <w:t>. All Contributions made for a Participant shall be credited to the Participant’s notional bookkeeping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A Participant may not make any additional payments into such account. No interest shall accrue on the Contributions of a Participant in the Plan, except as required by applicable law. The amounts collected from a Participant may be commingled with the general assets of the Company and may be used for general corporate purposes.</w:t>
      </w:r>
    </w:p>
    <w:p>
      <w:pPr>
        <w:spacing w:after="0" w:line="176"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Changes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80" w:right="220" w:firstLine="490"/>
        <w:spacing w:after="0" w:line="282" w:lineRule="auto"/>
        <w:tabs>
          <w:tab w:leader="none" w:pos="1016"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start of each Plan Year, a Participant may modify the Participant’s level of Contributions or elect to discontinue Contributions in accordance with procedures established by the Company.</w:t>
      </w:r>
    </w:p>
    <w:p>
      <w:pPr>
        <w:spacing w:after="0" w:line="161" w:lineRule="exact"/>
        <w:rPr>
          <w:rFonts w:ascii="Times New Roman" w:cs="Times New Roman" w:eastAsia="Times New Roman" w:hAnsi="Times New Roman"/>
          <w:sz w:val="18"/>
          <w:szCs w:val="18"/>
          <w:color w:val="auto"/>
        </w:rPr>
      </w:pPr>
    </w:p>
    <w:p>
      <w:pPr>
        <w:ind w:left="180" w:right="20" w:firstLine="490"/>
        <w:spacing w:after="0" w:line="254" w:lineRule="auto"/>
        <w:tabs>
          <w:tab w:leader="none" w:pos="1066"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 Offering Period but prior to the end of the Contribution Period, a Participant may withdraw from the applicable Offering Period by filing the prescribed notification form with the Administrator (or its designate) on or prior to the date required by the Administrator in its discretion. No further payroll deductions shall be collected from the Participant with respect to that Offering Period or the remainder of the Plan Year. The Participant shall have any payroll deductions for the applicable Contribution Period collected prior to the withdrawal date refunded by the Company in the currency originally collected. The Participant’s withdrawal from a particular Offering Period shall be irrevocable and shall also require the Participant to re-enroll in the Plan (by making a timely filing of a new Enrollment Agreement and payroll deduction authorization) if the Participant wishes to resume participation in a subsequent Enrollment Period.</w:t>
      </w:r>
    </w:p>
    <w:p>
      <w:pPr>
        <w:spacing w:after="0" w:line="191" w:lineRule="exact"/>
        <w:rPr>
          <w:rFonts w:ascii="Times New Roman" w:cs="Times New Roman" w:eastAsia="Times New Roman" w:hAnsi="Times New Roman"/>
          <w:sz w:val="18"/>
          <w:szCs w:val="18"/>
          <w:color w:val="auto"/>
        </w:rPr>
      </w:pPr>
    </w:p>
    <w:p>
      <w:pPr>
        <w:ind w:left="180" w:right="240" w:firstLine="490"/>
        <w:spacing w:after="0" w:line="266" w:lineRule="auto"/>
        <w:tabs>
          <w:tab w:leader="none" w:pos="1116"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end of a Contribution Period, a Participant may not amend the Enrollment Agreement for the Offering Period to increase, decrease, or discontinue the amount of prior Contributions for the applicable Offering Period, except upon termination of employment, as permitted by the Administrator, or as required by applicable law.</w:t>
      </w:r>
    </w:p>
    <w:p>
      <w:pPr>
        <w:spacing w:after="0" w:line="171" w:lineRule="exact"/>
        <w:rPr>
          <w:rFonts w:ascii="Times New Roman" w:cs="Times New Roman" w:eastAsia="Times New Roman" w:hAnsi="Times New Roman"/>
          <w:sz w:val="18"/>
          <w:szCs w:val="18"/>
          <w:color w:val="auto"/>
        </w:rPr>
      </w:pPr>
    </w:p>
    <w:p>
      <w:pPr>
        <w:ind w:left="-300" w:right="40" w:firstLine="484"/>
        <w:spacing w:after="0" w:line="259" w:lineRule="auto"/>
        <w:tabs>
          <w:tab w:leader="none" w:pos="56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Employee Status</w:t>
      </w:r>
      <w:r>
        <w:rPr>
          <w:rFonts w:ascii="Times New Roman" w:cs="Times New Roman" w:eastAsia="Times New Roman" w:hAnsi="Times New Roman"/>
          <w:sz w:val="18"/>
          <w:szCs w:val="18"/>
          <w:color w:val="auto"/>
        </w:rPr>
        <w:t>. As promptly as administratively practicable after a Participant ceases to be an Employee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(including without limitation upon death or disability), the Participant’s participation in the Offering Period shall end. All of the Contributions credited to such Participant’s account subsequent to the most recent Exercise Date shall be returned to such Participant or, in the case of the Participant’s death, to the person or persons entitled thereto, and such Participant’s further participation in the Plan for the Offering Period shall be automatically terminated.</w:t>
      </w:r>
    </w:p>
    <w:p>
      <w:pPr>
        <w:spacing w:after="0" w:line="179" w:lineRule="exact"/>
        <w:rPr>
          <w:rFonts w:ascii="Times New Roman" w:cs="Times New Roman" w:eastAsia="Times New Roman" w:hAnsi="Times New Roman"/>
          <w:sz w:val="18"/>
          <w:szCs w:val="18"/>
          <w:color w:val="auto"/>
        </w:rPr>
      </w:pPr>
    </w:p>
    <w:p>
      <w:pPr>
        <w:ind w:left="-300" w:firstLine="484"/>
        <w:spacing w:after="0" w:line="255" w:lineRule="auto"/>
        <w:tabs>
          <w:tab w:leader="none" w:pos="546"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Leave of Absence</w:t>
      </w:r>
      <w:r>
        <w:rPr>
          <w:rFonts w:ascii="Times New Roman" w:cs="Times New Roman" w:eastAsia="Times New Roman" w:hAnsi="Times New Roman"/>
          <w:sz w:val="18"/>
          <w:szCs w:val="18"/>
          <w:color w:val="auto"/>
        </w:rPr>
        <w:t>. Unless the Administrator otherwise determines, a Participant on a Company-paid leave of absence shall continue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a Participant in the Plan so long as such Participant has sufficient Base Pay to continue Contributions during such leave of absence. Unless otherwise determined by the Administrator, a Participant on a leave of absence with insufficient Base Pay shall suspend Contributions during the leave of absence but shall not be deemed to have terminated employment for purposes of the Plan. A Participant who fails to return to work following a leave of absence or is deemed not to be an Employee shall not be entitled to participate in any Offering Period after such termination of employment, and such Participant’s Contribution account shall be paid out in accordance with the Plan. For purposes of the Non-423 Component, the Administrator shall have the authority to determine the circumstances pursuant to which the employment relationship shall be treated as continuing intact while the individual is on a leave of absence.</w:t>
      </w:r>
    </w:p>
    <w:p>
      <w:pPr>
        <w:spacing w:after="0" w:line="36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7" w:right="359" w:bottom="1440" w:gutter="0" w:footer="0" w:header="0"/>
        </w:sectPr>
      </w:pPr>
    </w:p>
    <w:bookmarkStart w:id="371" w:name="page372"/>
    <w:bookmarkEnd w:id="371"/>
    <w:p>
      <w:pPr>
        <w:ind w:left="292" w:hanging="292"/>
        <w:spacing w:after="0"/>
        <w:tabs>
          <w:tab w:leader="none" w:pos="292" w:val="left"/>
        </w:tabs>
        <w:numPr>
          <w:ilvl w:val="0"/>
          <w:numId w:val="3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Periods and Contribution Periods</w:t>
      </w:r>
    </w:p>
    <w:p>
      <w:pPr>
        <w:spacing w:after="0" w:line="225" w:lineRule="exact"/>
        <w:rPr>
          <w:rFonts w:ascii="Times New Roman" w:cs="Times New Roman" w:eastAsia="Times New Roman" w:hAnsi="Times New Roman"/>
          <w:sz w:val="18"/>
          <w:szCs w:val="18"/>
          <w:b w:val="1"/>
          <w:bCs w:val="1"/>
          <w:color w:val="auto"/>
        </w:rPr>
      </w:pPr>
    </w:p>
    <w:p>
      <w:pPr>
        <w:jc w:val="both"/>
        <w:ind w:left="812" w:right="260" w:firstLine="484"/>
        <w:spacing w:after="0" w:line="268" w:lineRule="auto"/>
        <w:tabs>
          <w:tab w:leader="none" w:pos="1677"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Timing</w:t>
      </w:r>
      <w:r>
        <w:rPr>
          <w:rFonts w:ascii="Times New Roman" w:cs="Times New Roman" w:eastAsia="Times New Roman" w:hAnsi="Times New Roman"/>
          <w:sz w:val="18"/>
          <w:szCs w:val="18"/>
          <w:color w:val="auto"/>
        </w:rPr>
        <w:t>. Eligible Employees may enroll in the Plan during an Enrollment Period prior to the start of an Offering Period.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and Contribution Periods will commence on the first day of the initial Plan Year. Subsequent Offering and Contribution Periods will commence on or around January 1 and July 1 each year unless changed by the Administrator.</w:t>
      </w:r>
    </w:p>
    <w:p>
      <w:pPr>
        <w:spacing w:after="0" w:line="170" w:lineRule="exact"/>
        <w:rPr>
          <w:rFonts w:ascii="Times New Roman" w:cs="Times New Roman" w:eastAsia="Times New Roman" w:hAnsi="Times New Roman"/>
          <w:sz w:val="18"/>
          <w:szCs w:val="18"/>
          <w:color w:val="auto"/>
        </w:rPr>
      </w:pPr>
    </w:p>
    <w:p>
      <w:pPr>
        <w:ind w:left="812" w:firstLine="484"/>
        <w:spacing w:after="0" w:line="275" w:lineRule="auto"/>
        <w:tabs>
          <w:tab w:leader="none" w:pos="1688" w:val="left"/>
        </w:tabs>
        <w:numPr>
          <w:ilvl w:val="1"/>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Option to Purchase Shares</w:t>
      </w:r>
      <w:r>
        <w:rPr>
          <w:rFonts w:ascii="Times New Roman" w:cs="Times New Roman" w:eastAsia="Times New Roman" w:hAnsi="Times New Roman"/>
          <w:sz w:val="17"/>
          <w:szCs w:val="17"/>
          <w:color w:val="auto"/>
        </w:rPr>
        <w:t>. At the beginning of each Offering Period, the Plan shall be deemed to have granted each Participant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 to purchase Shares for as many whole Shares as they will be able to purchase with the Contributions credited to the Participant’s account during that Offering Period. On each Exercise Date, each Participant will be entitled to receive a number of Shares determined by dividing: (i) such Participant’s Contributions accumulated on or prior to such Exercise Date and retained in the Participant’s account as of the Exercise Date by (ii) the applicable Purchase Price. Unless otherwise determined by the Administrator in connection with a particular Offering Period, all such purchases of Share shall be in whole numbers only, rounding down, and the remaining account balance will be returned to the Participant.</w:t>
      </w:r>
    </w:p>
    <w:p>
      <w:pPr>
        <w:spacing w:after="0" w:line="168" w:lineRule="exact"/>
        <w:rPr>
          <w:rFonts w:ascii="Times New Roman" w:cs="Times New Roman" w:eastAsia="Times New Roman" w:hAnsi="Times New Roman"/>
          <w:sz w:val="17"/>
          <w:szCs w:val="17"/>
          <w:color w:val="auto"/>
        </w:rPr>
      </w:pPr>
    </w:p>
    <w:p>
      <w:pPr>
        <w:ind w:left="812" w:right="140" w:firstLine="484"/>
        <w:spacing w:after="0" w:line="262" w:lineRule="auto"/>
        <w:tabs>
          <w:tab w:leader="none" w:pos="1677"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of Options</w:t>
      </w:r>
      <w:r>
        <w:rPr>
          <w:rFonts w:ascii="Times New Roman" w:cs="Times New Roman" w:eastAsia="Times New Roman" w:hAnsi="Times New Roman"/>
          <w:sz w:val="18"/>
          <w:szCs w:val="18"/>
          <w:color w:val="auto"/>
        </w:rPr>
        <w:t>. A Participant’s option for the purchase of Shares shall be exercised automatically on the Exercise Date,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maximum number of Shares subject to the option shall be issued for such Participant at the applicable Purchase Price with the accumulated Contributions in the Participant’s account. During a Participant’s lifetime, a Participant’s option to purchase Shares hereunder is exercisable only by him or her.</w:t>
      </w:r>
    </w:p>
    <w:p>
      <w:pPr>
        <w:spacing w:after="0" w:line="176" w:lineRule="exact"/>
        <w:rPr>
          <w:rFonts w:ascii="Times New Roman" w:cs="Times New Roman" w:eastAsia="Times New Roman" w:hAnsi="Times New Roman"/>
          <w:sz w:val="18"/>
          <w:szCs w:val="18"/>
          <w:color w:val="auto"/>
        </w:rPr>
      </w:pPr>
    </w:p>
    <w:p>
      <w:pPr>
        <w:ind w:left="812" w:right="20" w:firstLine="484"/>
        <w:spacing w:after="0" w:line="254" w:lineRule="auto"/>
        <w:tabs>
          <w:tab w:leader="none" w:pos="1688"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Delivery of Shares</w:t>
      </w:r>
      <w:r>
        <w:rPr>
          <w:rFonts w:ascii="Times New Roman" w:cs="Times New Roman" w:eastAsia="Times New Roman" w:hAnsi="Times New Roman"/>
          <w:sz w:val="18"/>
          <w:szCs w:val="18"/>
          <w:color w:val="auto"/>
        </w:rPr>
        <w:t>. As promptly as administratively practicable after each Exercise Date on which a purchase of Shares occurs,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issued (via purchase or new issue) on behalf of a Participant will be credited to an account with a transfer agent or a securities brokerage firm, as determined by the Company, in the name of the Participant. By electing to participate in the Plan, a Participant will be deemed to authorize the establishment of an account in the Participant’s name with the transfer agent or securities brokerage firm selected by the Company. An Employee who is below the legal age limit to open a stock brokerage account under applicable law shall be responsible for taking such steps as are necessary to establish an account. If the Participant desires to sell some or all of the Shares held in the Participant’s account, the Participant may do so (i) by disposing of the Shares through the transfer agent or securities brokerage firm subject to any applicable fee, or (ii) through such other means as the Company may permit. The Administrator may require a Participant to hold the Shares with such transfer agent or securities brokerage firm designated by the Company for a specified or indefinite period of time.</w:t>
      </w:r>
    </w:p>
    <w:p>
      <w:pPr>
        <w:spacing w:after="0" w:line="188" w:lineRule="exact"/>
        <w:rPr>
          <w:rFonts w:ascii="Times New Roman" w:cs="Times New Roman" w:eastAsia="Times New Roman" w:hAnsi="Times New Roman"/>
          <w:sz w:val="18"/>
          <w:szCs w:val="18"/>
          <w:color w:val="auto"/>
        </w:rPr>
      </w:pPr>
    </w:p>
    <w:p>
      <w:pPr>
        <w:ind w:left="812" w:right="20" w:firstLine="484"/>
        <w:spacing w:after="0" w:line="254" w:lineRule="auto"/>
        <w:tabs>
          <w:tab w:leader="none" w:pos="1677"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Mandatory Holding Periods</w:t>
      </w:r>
      <w:r>
        <w:rPr>
          <w:rFonts w:ascii="Times New Roman" w:cs="Times New Roman" w:eastAsia="Times New Roman" w:hAnsi="Times New Roman"/>
          <w:sz w:val="18"/>
          <w:szCs w:val="18"/>
          <w:color w:val="auto"/>
        </w:rPr>
        <w:t>. The Plan is intended to provide Shares for investment and not for resale. The Administrator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discretion at its election to impose a holding period during which the sale of Shares under this Plan shall be restricted; provided the Administrator shall provide reasonable advance notice of such holding period. During the initial Offering Period, the Administrator shall impose an eighteen (18) month holding period from each Exercise Date during which the sale of Shares under this Plan shall be restricted. The Administrator shall provide the applicable terms and conditions associated with the eighteen (18) month holding period in the Enrollment Agreement. Any changes to the holding period shall be given to Participants in advance of any Offering Period for which such new holding period will be effective. Following any holding period, the Employee may sell or otherwise transfer or dispose of Shares that are purchased under the Plan at any time, subject to compliance with any applicable U.S. federal, state or non-U.S. securities laws and the Company’s insider trading and pre-clearance policies and procedures. THE EMPLOYEE ASSUMES THE RISK OF ANY MARKET FLUCTUATIONS IN THE PRICE OF THE SHARES.</w:t>
      </w:r>
    </w:p>
    <w:p>
      <w:pPr>
        <w:spacing w:after="0" w:line="36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372" w:name="page373"/>
    <w:bookmarkEnd w:id="372"/>
    <w:p>
      <w:pPr>
        <w:jc w:val="both"/>
        <w:ind w:left="820" w:right="40" w:firstLine="484"/>
        <w:spacing w:after="0" w:line="268" w:lineRule="auto"/>
        <w:tabs>
          <w:tab w:leader="none" w:pos="166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Currency Exchange Rate</w:t>
      </w:r>
      <w:r>
        <w:rPr>
          <w:rFonts w:ascii="Times New Roman" w:cs="Times New Roman" w:eastAsia="Times New Roman" w:hAnsi="Times New Roman"/>
          <w:sz w:val="18"/>
          <w:szCs w:val="18"/>
          <w:color w:val="auto"/>
        </w:rPr>
        <w:t>. The Administrator shall have the absolute discretion to determine the applicable currency exchange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in effect for any applicable date by any reasonable method. Any changes or fluctuations in the currency exchange rate at which the payroll deductions collected on the Participant’s behalf are converted to or from U.S. dollars shall be borne solely by the Participant.</w:t>
      </w:r>
    </w:p>
    <w:p>
      <w:pPr>
        <w:spacing w:after="0" w:line="170" w:lineRule="exact"/>
        <w:rPr>
          <w:rFonts w:ascii="Times New Roman" w:cs="Times New Roman" w:eastAsia="Times New Roman" w:hAnsi="Times New Roman"/>
          <w:sz w:val="18"/>
          <w:szCs w:val="18"/>
          <w:color w:val="auto"/>
        </w:rPr>
      </w:pPr>
    </w:p>
    <w:p>
      <w:pPr>
        <w:ind w:left="820" w:right="100" w:firstLine="484"/>
        <w:spacing w:after="0" w:line="268" w:lineRule="auto"/>
        <w:tabs>
          <w:tab w:leader="none" w:pos="169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Shareholder Rights</w:t>
      </w:r>
      <w:r>
        <w:rPr>
          <w:rFonts w:ascii="Times New Roman" w:cs="Times New Roman" w:eastAsia="Times New Roman" w:hAnsi="Times New Roman"/>
          <w:sz w:val="18"/>
          <w:szCs w:val="18"/>
          <w:color w:val="auto"/>
        </w:rPr>
        <w:t>. The Participant shall have no interest, dividend, voting or similar rights in Shares issued under this Plan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are delivered to the agent designated by the Company 6(d). Participants will have the right to vote Shares held in their account at shareholders’ meetings in accordance with the terms of the Share.</w:t>
      </w:r>
    </w:p>
    <w:p>
      <w:pPr>
        <w:spacing w:after="0" w:line="17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Shares</w:t>
      </w:r>
    </w:p>
    <w:p>
      <w:pPr>
        <w:spacing w:after="0" w:line="225" w:lineRule="exact"/>
        <w:rPr>
          <w:sz w:val="20"/>
          <w:szCs w:val="20"/>
          <w:color w:val="auto"/>
        </w:rPr>
      </w:pPr>
    </w:p>
    <w:p>
      <w:pPr>
        <w:ind w:left="820" w:firstLine="646"/>
        <w:spacing w:after="0" w:line="254" w:lineRule="auto"/>
        <w:tabs>
          <w:tab w:leader="none" w:pos="1847"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 Subject to adjustment upon changes in capitalization of the Parent Company as provided in Section 9(e)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maximum number of Shares which shall be made available for sale under the Plan shall be 1,351,000 Shares. The Shares purchased under the Plan may be authorized but unissued shares or treasury shares, including shares bought on the open market, new issue, or otherwise acquired for purposes of the Plan. In the discretion of the Administrator, ADRs in an amount equal to the number of Shares which otherwise would be distributed pursuant to the Plan may be distributed in lieu of Shares in settlement of any exercise of an option under the Plan. If the number of Shares represented by an ADR is other than on a one-to-one basis, the limitations of this Section 7(a) shall be adjusted to reflect the distribution of ADRs in lieu of Shares. If ADRs are distributed in lieu of Shares, all reference to Shares under this Plan will also apply to ADRs. If, on a given Exercise Date, the number of Shares with respect to which options are to be exercised exceeds the number of Shares then available under the Plan, the Parent Company and/or Participating Company shall make a pro rata allocation of the Shares remaining available for purchase among the Participants in such manner as it may determine in its sole discretion.</w:t>
      </w:r>
    </w:p>
    <w:p>
      <w:pPr>
        <w:spacing w:after="0" w:line="185" w:lineRule="exact"/>
        <w:rPr>
          <w:rFonts w:ascii="Times New Roman" w:cs="Times New Roman" w:eastAsia="Times New Roman" w:hAnsi="Times New Roman"/>
          <w:sz w:val="18"/>
          <w:szCs w:val="18"/>
          <w:color w:val="auto"/>
        </w:rPr>
      </w:pPr>
    </w:p>
    <w:p>
      <w:pPr>
        <w:ind w:left="820" w:right="140" w:firstLine="484"/>
        <w:spacing w:after="0" w:line="262" w:lineRule="auto"/>
        <w:tabs>
          <w:tab w:leader="none" w:pos="169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Dividends</w:t>
      </w:r>
      <w:r>
        <w:rPr>
          <w:rFonts w:ascii="Times New Roman" w:cs="Times New Roman" w:eastAsia="Times New Roman" w:hAnsi="Times New Roman"/>
          <w:sz w:val="18"/>
          <w:szCs w:val="18"/>
          <w:color w:val="auto"/>
        </w:rPr>
        <w:t>. All dividends or distributions paid on Share held in a Participant’s Share account shall be paid to the Participant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event of the Participant’s death, the Participant’s estate, determined in accordance with Section 9(a)) in accordance with procedures established by the Participating Company from time to time. The Administrator shall have the authority to establish a dividend reinvestment program and rules and procedures related to such program in its discretion.</w:t>
      </w:r>
    </w:p>
    <w:p>
      <w:pPr>
        <w:spacing w:after="0" w:line="176" w:lineRule="exact"/>
        <w:rPr>
          <w:rFonts w:ascii="Times New Roman" w:cs="Times New Roman" w:eastAsia="Times New Roman" w:hAnsi="Times New Roman"/>
          <w:sz w:val="18"/>
          <w:szCs w:val="18"/>
          <w:color w:val="auto"/>
        </w:rPr>
      </w:pPr>
    </w:p>
    <w:p>
      <w:pPr>
        <w:ind w:left="820" w:right="240" w:firstLine="484"/>
        <w:spacing w:after="0" w:line="257" w:lineRule="auto"/>
        <w:tabs>
          <w:tab w:leader="none" w:pos="168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Registration of Shares</w:t>
      </w:r>
      <w:r>
        <w:rPr>
          <w:rFonts w:ascii="Times New Roman" w:cs="Times New Roman" w:eastAsia="Times New Roman" w:hAnsi="Times New Roman"/>
          <w:sz w:val="18"/>
          <w:szCs w:val="18"/>
          <w:color w:val="auto"/>
        </w:rPr>
        <w:t>. The offering of the Shares hereunder may be subject to the effecting by the Parent Company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of the Shares under any U.S. federal, state or non-U.S. law or the obtaining of the consent or approval of any governmental regulatory body which the Parent Company shall determine, in its sole discretion, is necessary or desirable as a condition to, or in connection with, the offering or the issue or purchase of the Shares covered thereby. The Parent Company shall make reasonable efforts to effect such registration or qualification or to obtain such consent of approval. The Parent Company intends to file a registration statement with the U.S. Securities and Exchange Commission on Form S-8, covering the Shares issuable under the Plan.</w:t>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3" w:name="page374"/>
    <w:bookmarkEnd w:id="373"/>
    <w:p>
      <w:pPr>
        <w:ind w:left="812" w:right="40" w:firstLine="484"/>
        <w:spacing w:after="0" w:line="253" w:lineRule="auto"/>
        <w:tabs>
          <w:tab w:leader="none" w:pos="1688"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Upon Issuance of Shares</w:t>
      </w:r>
      <w:r>
        <w:rPr>
          <w:rFonts w:ascii="Times New Roman" w:cs="Times New Roman" w:eastAsia="Times New Roman" w:hAnsi="Times New Roman"/>
          <w:sz w:val="18"/>
          <w:szCs w:val="18"/>
          <w:color w:val="auto"/>
        </w:rPr>
        <w:t>. The obligations of the Parent Company and the Participating Company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under the Plan are subject to compliance with all applicable laws and regulations. Shares shall not be issued with respect to an option granted hereunder unless the issuance and exercise of such option and delivery of such Shares shall comply with all applicable provisions of U.S. and/or non-U.S. law, including, without limitation, the U.S. Securities Act of 1933, as amended, and the rules and regulations promulgated thereunder, the Exchange Act, and the laws of any non-U.S. jurisdiction where an option to purchase Shares is, or will be, granted under the Plan. Notwithstanding any other provision of the Plan, unless there is an available exemption from any registration, qualification or other legal requirement applicable to the Shares, the Parent Company will not be required to deliver any shares of Stock issuable upon exercise of a purchase right under the Plan prior to the completion of any registration or qualification of the shares under any Applicable Law, or prior to obtaining any approval or other clearance from any local, state, federal or foreign governmental agency, which registration, qualification or approval the Administrator will, in its absolute discretion, deem necessary or advisable. Neither the Parent Company nor the Participant Company is under any obligation to register or qualify the Shares with any state or foreign securities commission, or to seek approval or clearance from any governmental authority for the issuance or sale of the Shares. If the Administrator determines that the Shares will not be issued to any Participant, any payroll deductions credited to such Participant’s account will be promptly refunded, without interest, to the Participant, without any liability to the Parent Company or the Participating Company.</w:t>
      </w:r>
    </w:p>
    <w:p>
      <w:pPr>
        <w:spacing w:after="0" w:line="185"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225" w:lineRule="exact"/>
        <w:rPr>
          <w:rFonts w:ascii="Times New Roman" w:cs="Times New Roman" w:eastAsia="Times New Roman" w:hAnsi="Times New Roman"/>
          <w:sz w:val="18"/>
          <w:szCs w:val="18"/>
          <w:b w:val="1"/>
          <w:bCs w:val="1"/>
          <w:color w:val="auto"/>
        </w:rPr>
      </w:pPr>
    </w:p>
    <w:p>
      <w:pPr>
        <w:ind w:left="812" w:firstLine="484"/>
        <w:spacing w:after="0" w:line="268" w:lineRule="auto"/>
        <w:tabs>
          <w:tab w:leader="none" w:pos="1677"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Administrator</w:t>
      </w:r>
      <w:r>
        <w:rPr>
          <w:rFonts w:ascii="Times New Roman" w:cs="Times New Roman" w:eastAsia="Times New Roman" w:hAnsi="Times New Roman"/>
          <w:sz w:val="18"/>
          <w:szCs w:val="18"/>
          <w:color w:val="auto"/>
        </w:rPr>
        <w:t>. The Plan shall be administered by the Administrator. Notwithstanding anything in the Plan to the contrary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applicable law, any authority or responsibility that, under the terms of the Plan may be exercised by the Administrator, may alternatively be exercised by the Board.</w:t>
      </w:r>
    </w:p>
    <w:p>
      <w:pPr>
        <w:spacing w:after="0" w:line="170" w:lineRule="exact"/>
        <w:rPr>
          <w:rFonts w:ascii="Times New Roman" w:cs="Times New Roman" w:eastAsia="Times New Roman" w:hAnsi="Times New Roman"/>
          <w:sz w:val="18"/>
          <w:szCs w:val="18"/>
          <w:color w:val="auto"/>
        </w:rPr>
      </w:pPr>
    </w:p>
    <w:p>
      <w:pPr>
        <w:ind w:left="812" w:right="160" w:firstLine="484"/>
        <w:spacing w:after="0" w:line="286" w:lineRule="auto"/>
        <w:tabs>
          <w:tab w:leader="none" w:pos="1688"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 Subject to the terms of the Plan and applicable laws, the Administrator (whether the Board or a Committee designated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Board) shall have the full power and authority to administer the Plan, including, without limitation, the authority to:</w:t>
      </w:r>
    </w:p>
    <w:p>
      <w:pPr>
        <w:spacing w:after="0" w:line="158" w:lineRule="exact"/>
        <w:rPr>
          <w:rFonts w:ascii="Times New Roman" w:cs="Times New Roman" w:eastAsia="Times New Roman" w:hAnsi="Times New Roman"/>
          <w:sz w:val="18"/>
          <w:szCs w:val="18"/>
          <w:color w:val="auto"/>
        </w:rPr>
      </w:pPr>
    </w:p>
    <w:p>
      <w:pPr>
        <w:ind w:left="2132" w:hanging="350"/>
        <w:spacing w:after="0"/>
        <w:tabs>
          <w:tab w:leader="none" w:pos="2132" w:val="left"/>
        </w:tabs>
        <w:numPr>
          <w:ilvl w:val="2"/>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and construe any provision of the Plan;</w:t>
      </w:r>
    </w:p>
    <w:p>
      <w:pPr>
        <w:spacing w:after="0" w:line="225" w:lineRule="exact"/>
        <w:rPr>
          <w:rFonts w:ascii="Times New Roman" w:cs="Times New Roman" w:eastAsia="Times New Roman" w:hAnsi="Times New Roman"/>
          <w:sz w:val="18"/>
          <w:szCs w:val="18"/>
          <w:color w:val="auto"/>
        </w:rPr>
      </w:pPr>
    </w:p>
    <w:p>
      <w:pPr>
        <w:ind w:left="1292" w:right="60" w:firstLine="490"/>
        <w:spacing w:after="0" w:line="253" w:lineRule="auto"/>
        <w:tabs>
          <w:tab w:leader="none" w:pos="2133" w:val="left"/>
        </w:tabs>
        <w:numPr>
          <w:ilvl w:val="2"/>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determinations and adopt rules and regulations regarding the administration of the Plan, including, without limitation, eligibility to participate, the definition of Base Pay, the range of permissible amounts of Base Pay an Eligible Employee may specify to be withheld or contributed, the dates and duration of Offering Periods and Contribution Periods, the method of determining the Purchase Price, Fair Market Value, and the discount from Fair Market Value at which Shares may be purchased in an Offering, any minimum or maximum amount of Contributions a Participant may make in an Offering Period, the minimum or maximum number of Shares a Participant may purchase during an Offering Period; the handling of Contributions, the making of Contributions to the Plan (including, without limitation, in forms other than payroll deductions), establishment of bank or trust accounts to hold Contributions, payment of interest, the applicable currency exchange rate and the conversion of local currency, obligations to pay payroll tax, withholding procedures, handling of issuances of Shares and stock certificates, and the treatment of options to purchase Shares upon a change in control or a change in capitalization of the Company;</w:t>
      </w:r>
    </w:p>
    <w:p>
      <w:pPr>
        <w:spacing w:after="0" w:line="194" w:lineRule="exact"/>
        <w:rPr>
          <w:rFonts w:ascii="Times New Roman" w:cs="Times New Roman" w:eastAsia="Times New Roman" w:hAnsi="Times New Roman"/>
          <w:sz w:val="18"/>
          <w:szCs w:val="18"/>
          <w:color w:val="auto"/>
        </w:rPr>
      </w:pPr>
    </w:p>
    <w:p>
      <w:pPr>
        <w:ind w:left="1292" w:right="140" w:firstLine="490"/>
        <w:spacing w:after="0" w:line="266" w:lineRule="auto"/>
        <w:tabs>
          <w:tab w:leader="none" w:pos="2183" w:val="left"/>
        </w:tabs>
        <w:numPr>
          <w:ilvl w:val="2"/>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for the Enrollment Agreement, prescribe procedures to be followed by Eligible Employees in electing to participate in the Plan, and determine the terms and conditions of any right to purchase Shares or ADRs under the Plan;</w:t>
      </w:r>
    </w:p>
    <w:p>
      <w:pPr>
        <w:spacing w:after="0" w:line="175" w:lineRule="exact"/>
        <w:rPr>
          <w:rFonts w:ascii="Times New Roman" w:cs="Times New Roman" w:eastAsia="Times New Roman" w:hAnsi="Times New Roman"/>
          <w:sz w:val="18"/>
          <w:szCs w:val="18"/>
          <w:color w:val="auto"/>
        </w:rPr>
      </w:pPr>
    </w:p>
    <w:p>
      <w:pPr>
        <w:ind w:left="1292" w:right="20" w:firstLine="490"/>
        <w:spacing w:after="0" w:line="254" w:lineRule="auto"/>
        <w:tabs>
          <w:tab w:leader="none" w:pos="2218" w:val="left"/>
        </w:tabs>
        <w:numPr>
          <w:ilvl w:val="2"/>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any bank or trust accounts to hold Contributions and appoint the transfer agent or securities brokerage firm designated to hold Shares purchased under the Plan on behalf of Participants and direct the administration of the Plan by the designated transfer agent or securities brokerage firm in accordance with the provisions set forth herein; direct or cause the designated transfer agent or securities brokerage firm to direct the distribution of the Shares purchased hereunder; furnish or cause the designated transfer agent or securities brokerage firm to furnish the Employer with information that the Employer may require for tax or other purposes; maintain, or cause the designated transfer agent or securities brokerage firm to maintain, separate accounts in the name of each Participant to reflect the Participant’s Share account under the Plan; and receive from each Employer and from Eligible Employees such information as shall be necessary for the proper administration of the Plan;</w:t>
      </w:r>
    </w:p>
    <w:p>
      <w:pPr>
        <w:spacing w:after="0" w:line="36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17" w:right="379" w:bottom="1440" w:gutter="0" w:footer="0" w:header="0"/>
        </w:sectPr>
      </w:pPr>
    </w:p>
    <w:bookmarkStart w:id="374" w:name="page375"/>
    <w:bookmarkEnd w:id="374"/>
    <w:p>
      <w:pPr>
        <w:jc w:val="both"/>
        <w:ind w:left="1300" w:firstLine="490"/>
        <w:spacing w:after="0" w:line="261" w:lineRule="auto"/>
        <w:tabs>
          <w:tab w:leader="none" w:pos="2133"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outstanding right to purchase Shares or ADRs under the Plan, provided that the amended right otherwise conforms to the terms of the Plan; correct any defect or administrative error, supply any omission, and reconcile any inconsistency in the Plan in the manner and to the extent it shall deem desirable to carry the Plan into effect; enforce the terms of the Plan and the rules and regulations it adopts;</w:t>
      </w:r>
    </w:p>
    <w:p>
      <w:pPr>
        <w:spacing w:after="0" w:line="179" w:lineRule="exact"/>
        <w:rPr>
          <w:rFonts w:ascii="Times New Roman" w:cs="Times New Roman" w:eastAsia="Times New Roman" w:hAnsi="Times New Roman"/>
          <w:sz w:val="18"/>
          <w:szCs w:val="18"/>
          <w:color w:val="auto"/>
        </w:rPr>
      </w:pPr>
    </w:p>
    <w:p>
      <w:pPr>
        <w:ind w:left="2160" w:hanging="370"/>
        <w:spacing w:after="0"/>
        <w:tabs>
          <w:tab w:leader="none" w:pos="216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appropriate Fair Market Value of the Shares and the appropriate currency exchange rates for administration of</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206" w:lineRule="exact"/>
        <w:rPr>
          <w:rFonts w:ascii="Times New Roman" w:cs="Times New Roman" w:eastAsia="Times New Roman" w:hAnsi="Times New Roman"/>
          <w:sz w:val="18"/>
          <w:szCs w:val="18"/>
          <w:color w:val="auto"/>
        </w:rPr>
      </w:pPr>
    </w:p>
    <w:p>
      <w:pPr>
        <w:jc w:val="both"/>
        <w:ind w:left="1300" w:firstLine="490"/>
        <w:spacing w:after="0" w:line="266" w:lineRule="auto"/>
        <w:tabs>
          <w:tab w:leader="none" w:pos="2141"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agents as it shall deem appropriate for the proper administration of the Plan; engage the service of counsel (who may, if appropriate, be counsel for the Company or its Affiliates) and agents whom it may deem advisable to assist it with the performance of its duties; and</w:t>
      </w:r>
    </w:p>
    <w:p>
      <w:pPr>
        <w:spacing w:after="0" w:line="175" w:lineRule="exact"/>
        <w:rPr>
          <w:rFonts w:ascii="Times New Roman" w:cs="Times New Roman" w:eastAsia="Times New Roman" w:hAnsi="Times New Roman"/>
          <w:sz w:val="18"/>
          <w:szCs w:val="18"/>
          <w:color w:val="auto"/>
        </w:rPr>
      </w:pPr>
    </w:p>
    <w:p>
      <w:pPr>
        <w:jc w:val="both"/>
        <w:ind w:left="1300" w:firstLine="490"/>
        <w:spacing w:after="0" w:line="266" w:lineRule="auto"/>
        <w:tabs>
          <w:tab w:leader="none" w:pos="2204"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changes or modifications necessary to administer and implement the provisions of the Plan with respect to any non-U.S. jurisdiction to the fullest extent possible, including adopting and amending sub-plans with such provisions as the Administrator may deem appropriate to conform with local requirements.</w:t>
      </w:r>
    </w:p>
    <w:p>
      <w:pPr>
        <w:spacing w:after="0" w:line="17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Binding Decisions</w:t>
      </w:r>
      <w:r>
        <w:rPr>
          <w:rFonts w:ascii="Times New Roman" w:cs="Times New Roman" w:eastAsia="Times New Roman" w:hAnsi="Times New Roman"/>
          <w:sz w:val="18"/>
          <w:szCs w:val="18"/>
          <w:color w:val="auto"/>
        </w:rPr>
        <w:t>. Decisions of the Administrator (or its designate) shall be final and binding on all parties with an interest in the</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ind w:left="820" w:right="60" w:firstLine="484"/>
        <w:spacing w:after="0" w:line="259" w:lineRule="auto"/>
        <w:tabs>
          <w:tab w:leader="none" w:pos="1651"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Delegation</w:t>
      </w:r>
      <w:r>
        <w:rPr>
          <w:rFonts w:ascii="Times New Roman" w:cs="Times New Roman" w:eastAsia="Times New Roman" w:hAnsi="Times New Roman"/>
          <w:sz w:val="18"/>
          <w:szCs w:val="18"/>
          <w:color w:val="auto"/>
        </w:rPr>
        <w:t>. To the extent not prohibited by applicable laws, the Administrator, from time to time, may delegate some or all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under the Plan to a subcommittee or subcommittees of the Administrator, or other persons or groups of persons, including members of Company management, as it deems necessary, appropriate, or advisable under conditions or limitations that it may set at or after the time of the delegation. For purposes of the Plan, reference to the Administrator will be deemed to refer to any subcommittee, subcommittees, or other persons or groups of persons to whom the Administrator delegates authority pursuant to this Section 8(d).</w:t>
      </w:r>
    </w:p>
    <w:p>
      <w:pPr>
        <w:spacing w:after="0" w:line="17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25" w:lineRule="exact"/>
        <w:rPr>
          <w:rFonts w:ascii="Times New Roman" w:cs="Times New Roman" w:eastAsia="Times New Roman" w:hAnsi="Times New Roman"/>
          <w:sz w:val="18"/>
          <w:szCs w:val="18"/>
          <w:b w:val="1"/>
          <w:bCs w:val="1"/>
          <w:color w:val="auto"/>
        </w:rPr>
      </w:pPr>
    </w:p>
    <w:p>
      <w:pPr>
        <w:ind w:left="820" w:firstLine="484"/>
        <w:spacing w:after="0" w:line="257" w:lineRule="auto"/>
        <w:tabs>
          <w:tab w:leader="none" w:pos="1685"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Nontransferability</w:t>
      </w:r>
      <w:r>
        <w:rPr>
          <w:rFonts w:ascii="Times New Roman" w:cs="Times New Roman" w:eastAsia="Times New Roman" w:hAnsi="Times New Roman"/>
          <w:sz w:val="18"/>
          <w:szCs w:val="18"/>
          <w:color w:val="auto"/>
        </w:rPr>
        <w:t>. Neither Contributions credited to a Participant’s account nor any rights to receive Shares under the Plan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assigned, transferred, pledged or otherwise disposed of in any way (other than by will, the laws of descent and distribution or as provided in Section 9(a) hereof) by the Participant, unless otherwise permitted by the Administrator. Any such attempt at assignment, transfer, pledge or other disposition shall be without effect, except that the Company may treat such act as an election to cancel the Participant’s Contribution under the Plan in accordance with Section 5 hereof. Furthermore, the right to acquire Shares under the Plan is not transferable. In the event of the death of a Participant, the Company shall deliver such Contributions to the executor or administrator of the estate of the Participant.</w:t>
      </w:r>
    </w:p>
    <w:p>
      <w:pPr>
        <w:spacing w:after="0" w:line="182" w:lineRule="exact"/>
        <w:rPr>
          <w:rFonts w:ascii="Times New Roman" w:cs="Times New Roman" w:eastAsia="Times New Roman" w:hAnsi="Times New Roman"/>
          <w:sz w:val="18"/>
          <w:szCs w:val="18"/>
          <w:color w:val="auto"/>
        </w:rPr>
      </w:pPr>
    </w:p>
    <w:p>
      <w:pPr>
        <w:ind w:left="820" w:right="20" w:firstLine="484"/>
        <w:spacing w:after="0" w:line="259" w:lineRule="auto"/>
        <w:tabs>
          <w:tab w:leader="none" w:pos="1696"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Individual notional accounts shall be established and periodically updated for each Participant in the Plan. Such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given or made available to Participants, which shall set forth the amounts of Contributions, the Purchase Price for Shares purchased under the Plan on each Exercise Date, the number of Shares purchased under the Plan on each Exercise Date, the remaining cash balance, if any, and, if applicable, the number of Shares held by the agent designated to hold the Shares for the Participant and the Shares purchased by the Participant in connection with participation in any related dividend reinvestment feature.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5" w:name="page376"/>
    <w:bookmarkEnd w:id="375"/>
    <w:p>
      <w:pPr>
        <w:ind w:left="-300" w:right="20" w:firstLine="484"/>
        <w:spacing w:after="0" w:line="257" w:lineRule="auto"/>
        <w:tabs>
          <w:tab w:leader="none" w:pos="56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Upon Changes in Capitalization</w:t>
      </w:r>
      <w:r>
        <w:rPr>
          <w:rFonts w:ascii="Times New Roman" w:cs="Times New Roman" w:eastAsia="Times New Roman" w:hAnsi="Times New Roman"/>
          <w:sz w:val="18"/>
          <w:szCs w:val="18"/>
          <w:color w:val="auto"/>
        </w:rPr>
        <w:t>. Subject to any required action by the shareholders of the Parent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reserved for issuance under the Plan, as well as any other variables tied to the number of Shares or the per share Purchase Price which the Company determines should be adjusted, shall be proportionately adjusted for any increase or decrease in the number of issued Shares resulting from a stock split, reverse stock split, stock dividend, combination or reclassification of the Shares, or any other increase or decrease in the number of Shares effected without receipt of consideration by the Company. Such adjustment shall be made by the Company, whose determination in that respect shall be final, binding and conclusive.</w:t>
      </w:r>
    </w:p>
    <w:p>
      <w:pPr>
        <w:spacing w:after="0" w:line="182"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or Termination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80" w:right="160" w:firstLine="490"/>
        <w:spacing w:after="0" w:line="266" w:lineRule="auto"/>
        <w:tabs>
          <w:tab w:leader="none" w:pos="971"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at any time, or from time to time, amend, modify, suspend or terminate this Plan in any respect; provided, however, that to the extent that shareholder approval is required under applicable tax, securities, stock exchange or other laws or rules, no amendment shall be made without such approval.</w:t>
      </w:r>
    </w:p>
    <w:p>
      <w:pPr>
        <w:spacing w:after="0" w:line="175" w:lineRule="exact"/>
        <w:rPr>
          <w:rFonts w:ascii="Times New Roman" w:cs="Times New Roman" w:eastAsia="Times New Roman" w:hAnsi="Times New Roman"/>
          <w:sz w:val="18"/>
          <w:szCs w:val="18"/>
          <w:color w:val="auto"/>
        </w:rPr>
      </w:pPr>
    </w:p>
    <w:p>
      <w:pPr>
        <w:ind w:left="180" w:right="100" w:firstLine="490"/>
        <w:spacing w:after="0" w:line="276" w:lineRule="auto"/>
        <w:tabs>
          <w:tab w:leader="none" w:pos="1066" w:val="left"/>
        </w:tabs>
        <w:numPr>
          <w:ilvl w:val="1"/>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and all rights of Employees under any Offering hereunder may terminate at any time, at the discretion of the Administrator. Upon any termination of the Plan, all uninvested cash Contribution amounts in the accounts of Participants shall be either</w:t>
      </w:r>
    </w:p>
    <w:p>
      <w:pPr>
        <w:ind w:left="180" w:right="160" w:firstLine="4"/>
        <w:spacing w:after="0" w:line="260" w:lineRule="auto"/>
        <w:tabs>
          <w:tab w:leader="none" w:pos="39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refunded in total or (ii) refunded to the extent not used to purchase Shares, in the sole discretion of the Administrator. Such amendments shall be made without the approval of the shareholders of the Parent Company or the consent of any Participant.</w:t>
      </w:r>
    </w:p>
    <w:p>
      <w:pPr>
        <w:spacing w:after="0" w:line="177" w:lineRule="exact"/>
        <w:rPr>
          <w:rFonts w:ascii="Times New Roman" w:cs="Times New Roman" w:eastAsia="Times New Roman" w:hAnsi="Times New Roman"/>
          <w:sz w:val="18"/>
          <w:szCs w:val="18"/>
          <w:color w:val="auto"/>
        </w:rPr>
      </w:pPr>
    </w:p>
    <w:p>
      <w:pPr>
        <w:ind w:left="-300" w:right="20" w:firstLine="484"/>
        <w:spacing w:after="0" w:line="286" w:lineRule="auto"/>
        <w:tabs>
          <w:tab w:leader="none" w:pos="43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or other communications by a Participant under or in connection with the Plan shall be deemed to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when received in the form specified by the Company at the location, or by the person, designated by the Company for the receipt thereof.</w:t>
      </w:r>
    </w:p>
    <w:p>
      <w:pPr>
        <w:spacing w:after="0" w:line="154" w:lineRule="exact"/>
        <w:rPr>
          <w:rFonts w:ascii="Times New Roman" w:cs="Times New Roman" w:eastAsia="Times New Roman" w:hAnsi="Times New Roman"/>
          <w:sz w:val="18"/>
          <w:szCs w:val="18"/>
          <w:color w:val="auto"/>
        </w:rPr>
      </w:pPr>
    </w:p>
    <w:p>
      <w:pPr>
        <w:jc w:val="both"/>
        <w:ind w:left="-300" w:firstLine="484"/>
        <w:spacing w:after="0" w:line="262" w:lineRule="auto"/>
        <w:tabs>
          <w:tab w:leader="none" w:pos="411"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of Plan</w:t>
      </w:r>
      <w:r>
        <w:rPr>
          <w:rFonts w:ascii="Times New Roman" w:cs="Times New Roman" w:eastAsia="Times New Roman" w:hAnsi="Times New Roman"/>
          <w:sz w:val="18"/>
          <w:szCs w:val="18"/>
          <w:color w:val="auto"/>
        </w:rPr>
        <w:t>. The Plan was initially adopted by the Board on 12 December, 2024 (the “</w:t>
      </w:r>
      <w:r>
        <w:rPr>
          <w:rFonts w:ascii="Times New Roman" w:cs="Times New Roman" w:eastAsia="Times New Roman" w:hAnsi="Times New Roman"/>
          <w:sz w:val="18"/>
          <w:szCs w:val="18"/>
          <w:u w:val="single" w:color="auto"/>
          <w:color w:val="auto"/>
        </w:rPr>
        <w:t>Adoption Date</w:t>
      </w:r>
      <w:r>
        <w:rPr>
          <w:rFonts w:ascii="Times New Roman" w:cs="Times New Roman" w:eastAsia="Times New Roman" w:hAnsi="Times New Roman"/>
          <w:sz w:val="18"/>
          <w:szCs w:val="18"/>
          <w:color w:val="auto"/>
        </w:rPr>
        <w:t>”), and shall become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Effective Date. Any Offering prior to the Effective Date shall be subject to shareholder approval within 12 months following the Adoption Date. The Plan shall terminate automatically on the tenth anniversary of the Adoption Date unless earlier terminated under Section 9(f) hereof.</w:t>
      </w:r>
    </w:p>
    <w:p>
      <w:pPr>
        <w:spacing w:after="0" w:line="176" w:lineRule="exact"/>
        <w:rPr>
          <w:rFonts w:ascii="Times New Roman" w:cs="Times New Roman" w:eastAsia="Times New Roman" w:hAnsi="Times New Roman"/>
          <w:sz w:val="18"/>
          <w:szCs w:val="18"/>
          <w:color w:val="auto"/>
        </w:rPr>
      </w:pPr>
    </w:p>
    <w:p>
      <w:pPr>
        <w:jc w:val="both"/>
        <w:ind w:left="-300" w:firstLine="484"/>
        <w:spacing w:after="0" w:line="262" w:lineRule="auto"/>
        <w:tabs>
          <w:tab w:leader="none" w:pos="441"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of Plan Expenses</w:t>
      </w:r>
      <w:r>
        <w:rPr>
          <w:rFonts w:ascii="Times New Roman" w:cs="Times New Roman" w:eastAsia="Times New Roman" w:hAnsi="Times New Roman"/>
          <w:sz w:val="18"/>
          <w:szCs w:val="18"/>
          <w:color w:val="auto"/>
        </w:rPr>
        <w:t>. To the extent applicable, the Company shall assume the cost of all brokerage commissions or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charges for purchase or issue of Shares under the Plan. Any costs incurred for the sale of Shares at the request of a Participant or in compliance with any other provisions established herein will be charged against the account of the Participant. Other banking and/or service fees, such as any check or wire fee, will be charged against the account of the Participant.</w:t>
      </w:r>
    </w:p>
    <w:p>
      <w:pPr>
        <w:spacing w:after="0" w:line="176" w:lineRule="exact"/>
        <w:rPr>
          <w:rFonts w:ascii="Times New Roman" w:cs="Times New Roman" w:eastAsia="Times New Roman" w:hAnsi="Times New Roman"/>
          <w:sz w:val="18"/>
          <w:szCs w:val="18"/>
          <w:color w:val="auto"/>
        </w:rPr>
      </w:pPr>
    </w:p>
    <w:p>
      <w:pPr>
        <w:jc w:val="both"/>
        <w:ind w:left="-300" w:firstLine="484"/>
        <w:spacing w:after="0" w:line="259" w:lineRule="auto"/>
        <w:tabs>
          <w:tab w:leader="none" w:pos="441"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Guarantee of Employment or Benefits</w:t>
      </w:r>
      <w:r>
        <w:rPr>
          <w:rFonts w:ascii="Times New Roman" w:cs="Times New Roman" w:eastAsia="Times New Roman" w:hAnsi="Times New Roman"/>
          <w:sz w:val="18"/>
          <w:szCs w:val="18"/>
          <w:color w:val="auto"/>
        </w:rPr>
        <w:t>. Participation in the Plan does not constitute a guaranty or contract of employment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 Subsidiary Corporation or an Affiliate and shall, in no way, interfere with any rights of the Company, a Subsidiary Corporation or an Affiliate to determine the Employee’s employment with the Company, a Subsidiary Corporation or Affiliate. Because the Plan is based solely on voluntary participation and the amounts and number of shares received by a Participant under the Plan depend on the Fair Market Value of the Shares on future dates, the benefits or amounts to be received by any Participant are not determinable.</w:t>
      </w:r>
    </w:p>
    <w:p>
      <w:pPr>
        <w:spacing w:after="0" w:line="179" w:lineRule="exact"/>
        <w:rPr>
          <w:rFonts w:ascii="Times New Roman" w:cs="Times New Roman" w:eastAsia="Times New Roman" w:hAnsi="Times New Roman"/>
          <w:sz w:val="18"/>
          <w:szCs w:val="18"/>
          <w:color w:val="auto"/>
        </w:rPr>
      </w:pPr>
    </w:p>
    <w:p>
      <w:pPr>
        <w:jc w:val="both"/>
        <w:ind w:left="-300" w:firstLine="484"/>
        <w:spacing w:after="0" w:line="268" w:lineRule="auto"/>
        <w:tabs>
          <w:tab w:leader="none" w:pos="441"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The Company shall indemnify and hold harmless the Administrator against all liabilities, losses, costs,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including reasonable attorney’s fees, incurred, or suffered by the Administrator in connection with its management or administration of the Plan; provided, however, that such indemnity shall not extend to the willful misconduct or gross negligence of the Administrator.</w:t>
      </w:r>
    </w:p>
    <w:p>
      <w:pPr>
        <w:spacing w:after="0" w:line="34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376" w:name="page377"/>
    <w:bookmarkEnd w:id="376"/>
    <w:p>
      <w:pPr>
        <w:jc w:val="both"/>
        <w:ind w:left="-300" w:firstLine="484"/>
        <w:spacing w:after="0" w:line="256" w:lineRule="auto"/>
        <w:tabs>
          <w:tab w:leader="none" w:pos="414"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To the extent required by applicable U.S. federal, state, local or non-U.S. law, a Participant must make arrangements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satisfactory to the Company for the payment of any withholding or similar tax, social insurance contribution or other obligations that arise in connection with the Plan. At any time, the Company or Employer may, but shall not be obligated to, withhold from the Participant’s compensation the amount necessary for the Company or Employer to meet applicable withholding obligations. In addition, the Company or Employer may (i) withhold from the proceeds of the sale of Shares, (ii) withhold a sufficient whole number of Shares otherwise issuable upon purchase having an aggregate Fair Market Value sufficient to satisfy applicable withholding obligations, or (iii) withhold by any other means set forth in the applicable Enrollment Agreement.</w:t>
      </w:r>
    </w:p>
    <w:p>
      <w:pPr>
        <w:spacing w:after="0" w:line="182" w:lineRule="exact"/>
        <w:rPr>
          <w:rFonts w:ascii="Times New Roman" w:cs="Times New Roman" w:eastAsia="Times New Roman" w:hAnsi="Times New Roman"/>
          <w:sz w:val="18"/>
          <w:szCs w:val="18"/>
          <w:color w:val="auto"/>
        </w:rPr>
      </w:pPr>
    </w:p>
    <w:p>
      <w:pPr>
        <w:jc w:val="both"/>
        <w:ind w:left="-300" w:firstLine="484"/>
        <w:spacing w:after="0" w:line="253" w:lineRule="auto"/>
        <w:tabs>
          <w:tab w:leader="none" w:pos="441"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Rights to purchase Stock granted under the 423 Component are intended to be exempt from the application of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409A of the Code and rights to purchase Stock granted under the Non-423 Component are intended either to be exempt from, or in compliance with, Section 409A of the Code. In furtherance of the foregoing and notwithstanding any provision in the Plan to the contrary, if the Administrator determines that a right granted under the Plan may be subject to Section 409A of the Code or that any provision in the Plan would cause a right under the Plan to be subject to Section 409A of the Code, the Administrator may, but shall not be required to, amend the terms of the Plan and/or of an outstanding right granted under the Plan, or take such other action the Administrator determines is necessary or appropriate, in each case, without the Participant’s consent, to exempt any outstanding right or future right that may be granted under the Plan from or to allow any such rights to comply with Section 409A of the Code or to mitigate any adverse tax consequences arising under Section 409A. Notwithstanding the foregoing, the Company makes no representation that the right to purchase Stock under the Plan is exempt from, or compliant with, Section 409A of the Code and shall have no liability to a Participant or any other party if the right to purchase Stock under the Plan that is intended to be exempt from or compliant with Section 409A of the Code is not so exempt or compliant or for any action taken by the Administrator with respect thereto.</w:t>
      </w:r>
    </w:p>
    <w:p>
      <w:pPr>
        <w:spacing w:after="0" w:line="189" w:lineRule="exact"/>
        <w:rPr>
          <w:rFonts w:ascii="Times New Roman" w:cs="Times New Roman" w:eastAsia="Times New Roman" w:hAnsi="Times New Roman"/>
          <w:sz w:val="18"/>
          <w:szCs w:val="18"/>
          <w:color w:val="auto"/>
        </w:rPr>
      </w:pPr>
    </w:p>
    <w:p>
      <w:pPr>
        <w:ind w:left="-300" w:right="20" w:firstLine="484"/>
        <w:spacing w:after="0" w:line="286" w:lineRule="auto"/>
        <w:tabs>
          <w:tab w:leader="none" w:pos="42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The laws of the U.S. state of Delaware shall govern all questions concerning the construction, validity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of the Plan, without regard to such state’s conflict of law rules.</w:t>
      </w:r>
    </w:p>
    <w:p>
      <w:pPr>
        <w:spacing w:after="0" w:line="154" w:lineRule="exact"/>
        <w:rPr>
          <w:rFonts w:ascii="Times New Roman" w:cs="Times New Roman" w:eastAsia="Times New Roman" w:hAnsi="Times New Roman"/>
          <w:sz w:val="18"/>
          <w:szCs w:val="18"/>
          <w:color w:val="auto"/>
        </w:rPr>
      </w:pPr>
    </w:p>
    <w:p>
      <w:pPr>
        <w:jc w:val="both"/>
        <w:ind w:left="-300" w:firstLine="484"/>
        <w:spacing w:after="0" w:line="268" w:lineRule="auto"/>
        <w:tabs>
          <w:tab w:leader="none" w:pos="531"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of the Plan shall for any reason be held to be invalid or unenforceable, such invalidity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unenforceability shall not affect any other provision hereof, and the Plan shall be construed as if such invalid or unenforceable provision were omitted.</w:t>
      </w:r>
    </w:p>
    <w:p>
      <w:pPr>
        <w:spacing w:after="0" w:line="170" w:lineRule="exact"/>
        <w:rPr>
          <w:rFonts w:ascii="Times New Roman" w:cs="Times New Roman" w:eastAsia="Times New Roman" w:hAnsi="Times New Roman"/>
          <w:sz w:val="18"/>
          <w:szCs w:val="18"/>
          <w:color w:val="auto"/>
        </w:rPr>
      </w:pPr>
    </w:p>
    <w:p>
      <w:pPr>
        <w:ind w:left="-300" w:right="20" w:firstLine="484"/>
        <w:spacing w:after="0" w:line="286" w:lineRule="auto"/>
        <w:tabs>
          <w:tab w:leader="none" w:pos="46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The headings of sections herein are included solely for convenience and shall not affect the meaning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Plan.</w:t>
      </w:r>
    </w:p>
    <w:p>
      <w:pPr>
        <w:spacing w:after="0" w:line="37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66675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w w:val="97"/>
              </w:rPr>
              <w:t>Exhibit 8.1</w:t>
            </w:r>
          </w:p>
        </w:tc>
      </w:tr>
      <w:tr>
        <w:trPr>
          <w:trHeight w:val="432"/>
        </w:trPr>
        <w:tc>
          <w:tcPr>
            <w:tcW w:w="3860" w:type="dxa"/>
            <w:vAlign w:val="bottom"/>
          </w:tcPr>
          <w:p>
            <w:pPr>
              <w:spacing w:after="0"/>
              <w:rPr>
                <w:sz w:val="24"/>
                <w:szCs w:val="24"/>
                <w:color w:val="auto"/>
              </w:rPr>
            </w:pPr>
          </w:p>
        </w:tc>
        <w:tc>
          <w:tcPr>
            <w:tcW w:w="5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Subsidiaries of Telix Pharmaceuticals Limited</w:t>
            </w:r>
          </w:p>
        </w:tc>
        <w:tc>
          <w:tcPr>
            <w:tcW w:w="2240" w:type="dxa"/>
            <w:vAlign w:val="bottom"/>
          </w:tcPr>
          <w:p>
            <w:pPr>
              <w:spacing w:after="0"/>
              <w:rPr>
                <w:sz w:val="24"/>
                <w:szCs w:val="24"/>
                <w:color w:val="auto"/>
              </w:rPr>
            </w:pPr>
          </w:p>
        </w:tc>
      </w:tr>
      <w:tr>
        <w:trPr>
          <w:trHeight w:val="410"/>
        </w:trPr>
        <w:tc>
          <w:tcPr>
            <w:tcW w:w="38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State or Jurisdiction of</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38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Incorporation 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 and</w:t>
            </w:r>
          </w:p>
        </w:tc>
      </w:tr>
      <w:tr>
        <w:trPr>
          <w:trHeight w:val="245"/>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2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Voting Interest (%)</w:t>
            </w:r>
          </w:p>
        </w:tc>
      </w:tr>
      <w:tr>
        <w:trPr>
          <w:trHeight w:val="216"/>
        </w:trPr>
        <w:tc>
          <w:tcPr>
            <w:tcW w:w="3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Holdings Pty Ltd</w:t>
            </w:r>
          </w:p>
        </w:tc>
        <w:tc>
          <w:tcPr>
            <w:tcW w:w="2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w w:val="99"/>
              </w:rPr>
              <w:t>Telix Pharmaceuticals International Holdings Pty Ltd</w:t>
            </w:r>
          </w:p>
        </w:tc>
        <w:tc>
          <w:tcPr>
            <w:tcW w:w="2900" w:type="dxa"/>
            <w:vAlign w:val="bottom"/>
          </w:tcPr>
          <w:p>
            <w:pPr>
              <w:spacing w:after="0"/>
              <w:rPr>
                <w:sz w:val="18"/>
                <w:szCs w:val="18"/>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Australia Holdings Pty Ltd</w:t>
            </w:r>
          </w:p>
        </w:tc>
        <w:tc>
          <w:tcPr>
            <w:tcW w:w="29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Telix Pharmaceuticals (Innovations) Pty Ltd</w:t>
            </w:r>
          </w:p>
        </w:tc>
        <w:tc>
          <w:tcPr>
            <w:tcW w:w="2900" w:type="dxa"/>
            <w:vAlign w:val="bottom"/>
          </w:tcPr>
          <w:p>
            <w:pPr>
              <w:spacing w:after="0"/>
              <w:rPr>
                <w:sz w:val="18"/>
                <w:szCs w:val="18"/>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(ANZ) Pty Ltd</w:t>
            </w:r>
          </w:p>
        </w:tc>
        <w:tc>
          <w:tcPr>
            <w:tcW w:w="29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Telix Pharmaceuticals (Corporate) Pty Ltd</w:t>
            </w:r>
          </w:p>
        </w:tc>
        <w:tc>
          <w:tcPr>
            <w:tcW w:w="2900" w:type="dxa"/>
            <w:vAlign w:val="bottom"/>
          </w:tcPr>
          <w:p>
            <w:pPr>
              <w:spacing w:after="0"/>
              <w:rPr>
                <w:sz w:val="18"/>
                <w:szCs w:val="18"/>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(NZ) Limited</w:t>
            </w:r>
          </w:p>
        </w:tc>
        <w:tc>
          <w:tcPr>
            <w:tcW w:w="29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New Zealand</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Telix Pharma Japan KK</w:t>
            </w:r>
          </w:p>
        </w:tc>
        <w:tc>
          <w:tcPr>
            <w:tcW w:w="2900" w:type="dxa"/>
            <w:vAlign w:val="bottom"/>
          </w:tcPr>
          <w:p>
            <w:pPr>
              <w:spacing w:after="0"/>
              <w:rPr>
                <w:sz w:val="18"/>
                <w:szCs w:val="18"/>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(Singapore) Pte Ltd</w:t>
            </w:r>
          </w:p>
        </w:tc>
        <w:tc>
          <w:tcPr>
            <w:tcW w:w="29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Telix Pharmaceuticals (US) Inc.</w:t>
            </w:r>
          </w:p>
        </w:tc>
        <w:tc>
          <w:tcPr>
            <w:tcW w:w="2900" w:type="dxa"/>
            <w:vAlign w:val="bottom"/>
          </w:tcPr>
          <w:p>
            <w:pPr>
              <w:spacing w:after="0"/>
              <w:rPr>
                <w:sz w:val="18"/>
                <w:szCs w:val="18"/>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Optimal Tracers LLC</w:t>
            </w:r>
          </w:p>
        </w:tc>
        <w:tc>
          <w:tcPr>
            <w:tcW w:w="29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Telix Pharmaceuticals (Canada) Inc.</w:t>
            </w:r>
          </w:p>
        </w:tc>
        <w:tc>
          <w:tcPr>
            <w:tcW w:w="2900" w:type="dxa"/>
            <w:vAlign w:val="bottom"/>
          </w:tcPr>
          <w:p>
            <w:pPr>
              <w:spacing w:after="0"/>
              <w:rPr>
                <w:sz w:val="18"/>
                <w:szCs w:val="18"/>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Innovations SA</w:t>
            </w:r>
          </w:p>
        </w:tc>
        <w:tc>
          <w:tcPr>
            <w:tcW w:w="29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Telix Pharmaceuticals (Germany) GmbH</w:t>
            </w:r>
          </w:p>
        </w:tc>
        <w:tc>
          <w:tcPr>
            <w:tcW w:w="2900" w:type="dxa"/>
            <w:vAlign w:val="bottom"/>
          </w:tcPr>
          <w:p>
            <w:pPr>
              <w:spacing w:after="0"/>
              <w:rPr>
                <w:sz w:val="18"/>
                <w:szCs w:val="18"/>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(Switzerland) GmbH</w:t>
            </w:r>
          </w:p>
        </w:tc>
        <w:tc>
          <w:tcPr>
            <w:tcW w:w="29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Switzerland</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Telix Pharmaceuticals (Belgium) SRL</w:t>
            </w:r>
          </w:p>
        </w:tc>
        <w:tc>
          <w:tcPr>
            <w:tcW w:w="2900" w:type="dxa"/>
            <w:vAlign w:val="bottom"/>
          </w:tcPr>
          <w:p>
            <w:pPr>
              <w:spacing w:after="0"/>
              <w:rPr>
                <w:sz w:val="18"/>
                <w:szCs w:val="18"/>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Dedicaid GmbH in Liqu.</w:t>
            </w:r>
          </w:p>
        </w:tc>
        <w:tc>
          <w:tcPr>
            <w:tcW w:w="29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Austria</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Lightpoint Surgical Ltd</w:t>
            </w:r>
          </w:p>
        </w:tc>
        <w:tc>
          <w:tcPr>
            <w:tcW w:w="2900" w:type="dxa"/>
            <w:vAlign w:val="bottom"/>
          </w:tcPr>
          <w:p>
            <w:pPr>
              <w:spacing w:after="0"/>
              <w:rPr>
                <w:sz w:val="18"/>
                <w:szCs w:val="18"/>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Lightpoint Surgical Spain S.L.</w:t>
            </w:r>
          </w:p>
        </w:tc>
        <w:tc>
          <w:tcPr>
            <w:tcW w:w="29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Spain</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Rhine Pharma GmbH</w:t>
            </w:r>
          </w:p>
        </w:tc>
        <w:tc>
          <w:tcPr>
            <w:tcW w:w="2900" w:type="dxa"/>
            <w:vAlign w:val="bottom"/>
          </w:tcPr>
          <w:p>
            <w:pPr>
              <w:spacing w:after="0"/>
              <w:rPr>
                <w:sz w:val="18"/>
                <w:szCs w:val="18"/>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Therapeia GmbH &amp; Co. KG</w:t>
            </w:r>
          </w:p>
        </w:tc>
        <w:tc>
          <w:tcPr>
            <w:tcW w:w="29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Therapeia Verwaltungs-GmbH</w:t>
            </w:r>
          </w:p>
        </w:tc>
        <w:tc>
          <w:tcPr>
            <w:tcW w:w="2900" w:type="dxa"/>
            <w:vAlign w:val="bottom"/>
          </w:tcPr>
          <w:p>
            <w:pPr>
              <w:spacing w:after="0"/>
              <w:rPr>
                <w:sz w:val="18"/>
                <w:szCs w:val="18"/>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Pharmaceuticals (France) SAS</w:t>
            </w:r>
          </w:p>
        </w:tc>
        <w:tc>
          <w:tcPr>
            <w:tcW w:w="29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Telix Pharmaceuticals (UK) Ltd</w:t>
            </w:r>
          </w:p>
        </w:tc>
        <w:tc>
          <w:tcPr>
            <w:tcW w:w="2900" w:type="dxa"/>
            <w:vAlign w:val="bottom"/>
          </w:tcPr>
          <w:p>
            <w:pPr>
              <w:spacing w:after="0"/>
              <w:rPr>
                <w:sz w:val="18"/>
                <w:szCs w:val="18"/>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IsoTherapeutics Group Inc.</w:t>
            </w:r>
          </w:p>
        </w:tc>
        <w:tc>
          <w:tcPr>
            <w:tcW w:w="29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Telix ARTMS Inc.</w:t>
            </w:r>
          </w:p>
        </w:tc>
        <w:tc>
          <w:tcPr>
            <w:tcW w:w="2900" w:type="dxa"/>
            <w:vAlign w:val="bottom"/>
          </w:tcPr>
          <w:p>
            <w:pPr>
              <w:spacing w:after="0"/>
              <w:rPr>
                <w:sz w:val="18"/>
                <w:szCs w:val="18"/>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ARTMS US, Inc.</w:t>
            </w:r>
          </w:p>
        </w:tc>
        <w:tc>
          <w:tcPr>
            <w:tcW w:w="29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Telix QSAM, Inc.</w:t>
            </w:r>
          </w:p>
        </w:tc>
        <w:tc>
          <w:tcPr>
            <w:tcW w:w="2900" w:type="dxa"/>
            <w:vAlign w:val="bottom"/>
          </w:tcPr>
          <w:p>
            <w:pPr>
              <w:spacing w:after="0"/>
              <w:rPr>
                <w:sz w:val="18"/>
                <w:szCs w:val="18"/>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QSAM Therapeutics Inc.</w:t>
            </w:r>
          </w:p>
        </w:tc>
        <w:tc>
          <w:tcPr>
            <w:tcW w:w="29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Texas</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Telix Innovations RPH Participações Ltda.</w:t>
            </w:r>
          </w:p>
        </w:tc>
        <w:tc>
          <w:tcPr>
            <w:tcW w:w="2900" w:type="dxa"/>
            <w:vAlign w:val="bottom"/>
          </w:tcPr>
          <w:p>
            <w:pPr>
              <w:spacing w:after="0"/>
              <w:rPr>
                <w:sz w:val="18"/>
                <w:szCs w:val="18"/>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RLS (USA) Inc.</w:t>
            </w:r>
          </w:p>
        </w:tc>
        <w:tc>
          <w:tcPr>
            <w:tcW w:w="29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Las Vegas Radiopharmacy, Inc.</w:t>
            </w:r>
          </w:p>
        </w:tc>
        <w:tc>
          <w:tcPr>
            <w:tcW w:w="2900" w:type="dxa"/>
            <w:vAlign w:val="bottom"/>
          </w:tcPr>
          <w:p>
            <w:pPr>
              <w:spacing w:after="0"/>
              <w:rPr>
                <w:sz w:val="18"/>
                <w:szCs w:val="18"/>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Telix Targeting Technologies, Inc.</w:t>
            </w:r>
          </w:p>
        </w:tc>
        <w:tc>
          <w:tcPr>
            <w:tcW w:w="29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520"/>
        </w:trPr>
        <w:tc>
          <w:tcPr>
            <w:tcW w:w="38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266"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bookmarkStart w:id="378" w:name="page379"/>
    <w:bookmarkEnd w:id="37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157480</wp:posOffset>
            </wp:positionV>
            <wp:extent cx="1585595" cy="7200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7">
                      <a:extLst>
                        <a:ext uri="{28A0092B-C50C-407E-A947-70E740481C1C}"/>
                      </a:extLst>
                    </a:blip>
                    <a:srcRect/>
                    <a:stretch>
                      <a:fillRect/>
                    </a:stretch>
                  </pic:blipFill>
                  <pic:spPr bwMode="auto">
                    <a:xfrm>
                      <a:off x="0" y="0"/>
                      <a:ext cx="15855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Dealing Policy</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Telix Pharmaceuticals Limited</w:t>
      </w:r>
    </w:p>
    <w:p>
      <w:pPr>
        <w:spacing w:after="0" w:line="22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Adopted by the Board effective on 12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379" w:name="page380"/>
    <w:bookmarkEnd w:id="379"/>
    <w:tbl>
      <w:tblPr>
        <w:tblLayout w:type="fixed"/>
        <w:tblInd w:w="0" w:type="dxa"/>
        <w:tblCellMar>
          <w:top w:w="0" w:type="dxa"/>
          <w:left w:w="0" w:type="dxa"/>
          <w:bottom w:w="0" w:type="dxa"/>
          <w:right w:w="0" w:type="dxa"/>
        </w:tblCellMar>
      </w:tblPr>
      <w:tr>
        <w:trPr>
          <w:trHeight w:val="238"/>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Purpose and Objectives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Policy Application</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Insider Trading</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3.1</w:t>
            </w:r>
          </w:p>
        </w:tc>
        <w:tc>
          <w:tcPr>
            <w:tcW w:w="8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Insider trading prohibition</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3.2</w:t>
            </w: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Inside Information and other relevant terms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3.3</w:t>
            </w:r>
          </w:p>
        </w:tc>
        <w:tc>
          <w:tcPr>
            <w:tcW w:w="8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Inside Information however obtained</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3.4</w:t>
            </w: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Extra-territorial application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3.5</w:t>
            </w:r>
          </w:p>
        </w:tc>
        <w:tc>
          <w:tcPr>
            <w:tcW w:w="8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Not limited to Telix information</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3.6</w:t>
            </w: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Front Page Test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prohibitions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4.1</w:t>
            </w: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short-term or speculative dealing</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4.2</w:t>
            </w:r>
          </w:p>
        </w:tc>
        <w:tc>
          <w:tcPr>
            <w:tcW w:w="8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 hedging of Telix Securities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4.3</w:t>
            </w: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dealing in Blackout Periods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4.4</w:t>
            </w:r>
          </w:p>
        </w:tc>
        <w:tc>
          <w:tcPr>
            <w:tcW w:w="8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 margin lending</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4.5</w:t>
            </w: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dealing in financial products issued over Telix Securities by third parties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Exemptions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w:t>
            </w: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Exemption for participation in Telix employee equity plans or similar schemes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5.2</w:t>
            </w:r>
          </w:p>
        </w:tc>
        <w:tc>
          <w:tcPr>
            <w:tcW w:w="8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exemptions - exceptional circumstances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5.3</w:t>
            </w: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exemptions - excluded dealings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Persons: additional restrictions and responsibilities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6.1</w:t>
            </w: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Persons only to trade in Trading Windows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6.2</w:t>
            </w:r>
          </w:p>
        </w:tc>
        <w:tc>
          <w:tcPr>
            <w:tcW w:w="8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Connected Persons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6.3</w:t>
            </w: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Prior notification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6.4</w:t>
            </w:r>
          </w:p>
        </w:tc>
        <w:tc>
          <w:tcPr>
            <w:tcW w:w="8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Confirmation of trade required</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6.5</w:t>
            </w: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Trading Window exemptions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Penalties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7.1</w:t>
            </w: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Consequences for breaches of this Policy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Obligation of confidentiality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Awareness and training</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Who should I contact?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Review</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Recent Change Summary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860" w:type="dxa"/>
            <w:vAlign w:val="bottom"/>
          </w:tcPr>
          <w:p>
            <w:pPr>
              <w:spacing w:after="0"/>
              <w:rPr>
                <w:sz w:val="24"/>
                <w:szCs w:val="24"/>
                <w:color w:val="auto"/>
              </w:rPr>
            </w:pPr>
          </w:p>
        </w:tc>
        <w:tc>
          <w:tcPr>
            <w:tcW w:w="8060" w:type="dxa"/>
            <w:vAlign w:val="bottom"/>
          </w:tcPr>
          <w:p>
            <w:pPr>
              <w:ind w:left="4720"/>
              <w:spacing w:after="0"/>
              <w:rPr>
                <w:sz w:val="20"/>
                <w:szCs w:val="20"/>
                <w:color w:val="auto"/>
              </w:rPr>
            </w:pPr>
            <w:r>
              <w:rPr>
                <w:rFonts w:ascii="Times New Roman" w:cs="Times New Roman" w:eastAsia="Times New Roman" w:hAnsi="Times New Roman"/>
                <w:sz w:val="14"/>
                <w:szCs w:val="14"/>
                <w:color w:val="auto"/>
              </w:rPr>
              <w:t>2</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860" w:type="dxa"/>
            <w:vAlign w:val="bottom"/>
            <w:tcBorders>
              <w:bottom w:val="single" w:sz="8" w:color="auto"/>
            </w:tcBorders>
          </w:tcPr>
          <w:p>
            <w:pPr>
              <w:spacing w:after="0"/>
              <w:rPr>
                <w:sz w:val="3"/>
                <w:szCs w:val="3"/>
                <w:color w:val="auto"/>
              </w:rPr>
            </w:pPr>
          </w:p>
        </w:tc>
        <w:tc>
          <w:tcPr>
            <w:tcW w:w="806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80" w:name="page381"/>
    <w:bookmarkEnd w:id="380"/>
    <w:p>
      <w:pPr>
        <w:ind w:left="680" w:hanging="672"/>
        <w:spacing w:after="0"/>
        <w:tabs>
          <w:tab w:leader="none" w:pos="680" w:val="left"/>
        </w:tabs>
        <w:numPr>
          <w:ilvl w:val="0"/>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780" w:right="220"/>
        <w:spacing w:after="0" w:line="286" w:lineRule="auto"/>
        <w:rPr>
          <w:sz w:val="20"/>
          <w:szCs w:val="20"/>
          <w:color w:val="auto"/>
        </w:rPr>
      </w:pPr>
      <w:r>
        <w:rPr>
          <w:rFonts w:ascii="Times New Roman" w:cs="Times New Roman" w:eastAsia="Times New Roman" w:hAnsi="Times New Roman"/>
          <w:sz w:val="18"/>
          <w:szCs w:val="18"/>
          <w:color w:val="auto"/>
        </w:rPr>
        <w:t>As a public company, Telix Pharmaceuticals Limited (</w:t>
      </w:r>
      <w:r>
        <w:rPr>
          <w:rFonts w:ascii="Times New Roman" w:cs="Times New Roman" w:eastAsia="Times New Roman" w:hAnsi="Times New Roman"/>
          <w:sz w:val="18"/>
          <w:szCs w:val="18"/>
          <w:b w:val="1"/>
          <w:bCs w:val="1"/>
          <w:color w:val="auto"/>
        </w:rPr>
        <w:t>Telix</w:t>
      </w:r>
      <w:r>
        <w:rPr>
          <w:rFonts w:ascii="Times New Roman" w:cs="Times New Roman" w:eastAsia="Times New Roman" w:hAnsi="Times New Roman"/>
          <w:sz w:val="18"/>
          <w:szCs w:val="18"/>
          <w:color w:val="auto"/>
        </w:rPr>
        <w:t>) is bound by applicable laws, regulations and Listing Rules governing the conduct for buying, selling and otherwise dealing in Telix Securities. The purpose of this Securities Dealing Policy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is to:</w:t>
      </w:r>
    </w:p>
    <w:p>
      <w:pPr>
        <w:spacing w:after="0" w:line="155" w:lineRule="exact"/>
        <w:rPr>
          <w:sz w:val="20"/>
          <w:szCs w:val="20"/>
          <w:color w:val="auto"/>
        </w:rPr>
      </w:pPr>
    </w:p>
    <w:p>
      <w:pPr>
        <w:ind w:left="1420" w:hanging="643"/>
        <w:spacing w:after="0" w:line="268" w:lineRule="auto"/>
        <w:tabs>
          <w:tab w:leader="none" w:pos="142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explain the types of conduct in dealing in Telix Securities that are prohibited under the Corporations Act 2001 (Cth) (</w:t>
      </w:r>
      <w:r>
        <w:rPr>
          <w:rFonts w:ascii="Times New Roman" w:cs="Times New Roman" w:eastAsia="Times New Roman" w:hAnsi="Times New Roman"/>
          <w:sz w:val="18"/>
          <w:szCs w:val="18"/>
          <w:b w:val="1"/>
          <w:bCs w:val="1"/>
          <w:color w:val="auto"/>
        </w:rPr>
        <w:t>Corporations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and the U.S. Securities Exchange Act of 1934, as amended, (</w:t>
      </w:r>
      <w:r>
        <w:rPr>
          <w:rFonts w:ascii="Times New Roman" w:cs="Times New Roman" w:eastAsia="Times New Roman" w:hAnsi="Times New Roman"/>
          <w:sz w:val="18"/>
          <w:szCs w:val="18"/>
          <w:b w:val="1"/>
          <w:bCs w:val="1"/>
          <w:color w:val="auto"/>
        </w:rPr>
        <w:t>U.S. Securities Exchange Act</w:t>
      </w:r>
      <w:r>
        <w:rPr>
          <w:rFonts w:ascii="Times New Roman" w:cs="Times New Roman" w:eastAsia="Times New Roman" w:hAnsi="Times New Roman"/>
          <w:sz w:val="18"/>
          <w:szCs w:val="18"/>
          <w:color w:val="auto"/>
        </w:rPr>
        <w:t>) and to whom such prohibitions apply;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p>
    <w:p>
      <w:pPr>
        <w:spacing w:after="0" w:line="390" w:lineRule="exact"/>
        <w:rPr>
          <w:rFonts w:ascii="Times New Roman" w:cs="Times New Roman" w:eastAsia="Times New Roman" w:hAnsi="Times New Roman"/>
          <w:sz w:val="18"/>
          <w:szCs w:val="18"/>
          <w:color w:val="auto"/>
        </w:rPr>
      </w:pPr>
    </w:p>
    <w:p>
      <w:pPr>
        <w:jc w:val="both"/>
        <w:ind w:left="1420" w:right="300" w:hanging="643"/>
        <w:spacing w:after="0" w:line="312" w:lineRule="auto"/>
        <w:tabs>
          <w:tab w:leader="none" w:pos="1420"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establish a best practice procedure for the buying and selling of Telix Securities that protects Telix and its worldwide affiliates or its related bodies corporate (together, the </w:t>
      </w:r>
      <w:r>
        <w:rPr>
          <w:rFonts w:ascii="Times New Roman" w:cs="Times New Roman" w:eastAsia="Times New Roman" w:hAnsi="Times New Roman"/>
          <w:sz w:val="17"/>
          <w:szCs w:val="17"/>
          <w:b w:val="1"/>
          <w:bCs w:val="1"/>
          <w:color w:val="auto"/>
        </w:rPr>
        <w:t>Group</w:t>
      </w:r>
      <w:r>
        <w:rPr>
          <w:rFonts w:ascii="Times New Roman" w:cs="Times New Roman" w:eastAsia="Times New Roman" w:hAnsi="Times New Roman"/>
          <w:sz w:val="17"/>
          <w:szCs w:val="17"/>
          <w:color w:val="auto"/>
        </w:rPr>
        <w:t>), its directors, officers and employees of the Group and the trading of Telix Securities.</w:t>
      </w:r>
    </w:p>
    <w:p>
      <w:pPr>
        <w:spacing w:after="0" w:line="136" w:lineRule="exact"/>
        <w:rPr>
          <w:sz w:val="20"/>
          <w:szCs w:val="20"/>
          <w:color w:val="auto"/>
        </w:rPr>
      </w:pPr>
    </w:p>
    <w:p>
      <w:pPr>
        <w:ind w:left="680" w:hanging="672"/>
        <w:spacing w:after="0"/>
        <w:tabs>
          <w:tab w:leader="none" w:pos="680" w:val="left"/>
        </w:tabs>
        <w:numPr>
          <w:ilvl w:val="0"/>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Application</w:t>
      </w:r>
    </w:p>
    <w:p>
      <w:pPr>
        <w:spacing w:after="0" w:line="25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2.1Scope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jc w:val="both"/>
        <w:ind w:left="760" w:right="120"/>
        <w:spacing w:after="0" w:line="282" w:lineRule="auto"/>
        <w:rPr>
          <w:sz w:val="20"/>
          <w:szCs w:val="20"/>
          <w:color w:val="auto"/>
        </w:rPr>
      </w:pPr>
      <w:r>
        <w:rPr>
          <w:rFonts w:ascii="Times New Roman" w:cs="Times New Roman" w:eastAsia="Times New Roman" w:hAnsi="Times New Roman"/>
          <w:sz w:val="18"/>
          <w:szCs w:val="18"/>
          <w:color w:val="auto"/>
        </w:rPr>
        <w:t>Telix aims to achieve the highest possible standards of corporate conduct and governance and to comply with all applicable laws, regulations and Listing Rules with respect to securities dealing and to avoid insider trading or other prohibited securities dealing practices.</w:t>
      </w:r>
    </w:p>
    <w:p>
      <w:pPr>
        <w:spacing w:after="0" w:line="162" w:lineRule="exact"/>
        <w:rPr>
          <w:sz w:val="20"/>
          <w:szCs w:val="20"/>
          <w:color w:val="auto"/>
        </w:rPr>
      </w:pPr>
    </w:p>
    <w:p>
      <w:pPr>
        <w:jc w:val="both"/>
        <w:ind w:left="760" w:right="120"/>
        <w:spacing w:after="0" w:line="266" w:lineRule="auto"/>
        <w:rPr>
          <w:sz w:val="20"/>
          <w:szCs w:val="20"/>
          <w:color w:val="auto"/>
        </w:rPr>
      </w:pPr>
      <w:r>
        <w:rPr>
          <w:rFonts w:ascii="Times New Roman" w:cs="Times New Roman" w:eastAsia="Times New Roman" w:hAnsi="Times New Roman"/>
          <w:sz w:val="18"/>
          <w:szCs w:val="18"/>
          <w:color w:val="auto"/>
        </w:rPr>
        <w:t>This Policy applies worldwide to all operating companies of Telix, its directors, officers, executive and senior management, and other employees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as well as Telix’s consultants, contractors, vendors, collaboration partners or advisors, acting on behalf of Telix or the Group with access to Inside Information (</w:t>
      </w:r>
      <w:r>
        <w:rPr>
          <w:rFonts w:ascii="Times New Roman" w:cs="Times New Roman" w:eastAsia="Times New Roman" w:hAnsi="Times New Roman"/>
          <w:sz w:val="18"/>
          <w:szCs w:val="18"/>
          <w:b w:val="1"/>
          <w:bCs w:val="1"/>
          <w:color w:val="auto"/>
        </w:rPr>
        <w:t>Partners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For the purposes of this Policy, the following definitions apply:</w:t>
      </w:r>
    </w:p>
    <w:p>
      <w:pPr>
        <w:spacing w:after="0" w:line="22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 xml:space="preserve">Approver </w:t>
      </w:r>
      <w:r>
        <w:rPr>
          <w:rFonts w:ascii="Times New Roman" w:cs="Times New Roman" w:eastAsia="Times New Roman" w:hAnsi="Times New Roman"/>
          <w:sz w:val="18"/>
          <w:szCs w:val="18"/>
          <w:color w:val="auto"/>
        </w:rPr>
        <w:t>has the meaning set out in section 5.2 of this Policy.</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means the Telix Board of Directors.</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 xml:space="preserve">Blackout Period </w:t>
      </w:r>
      <w:r>
        <w:rPr>
          <w:rFonts w:ascii="Times New Roman" w:cs="Times New Roman" w:eastAsia="Times New Roman" w:hAnsi="Times New Roman"/>
          <w:sz w:val="18"/>
          <w:szCs w:val="18"/>
          <w:color w:val="auto"/>
        </w:rPr>
        <w:t>has the meaning set out in section 4.3 of this Policy.</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 xml:space="preserve">Connected Persons </w:t>
      </w:r>
      <w:r>
        <w:rPr>
          <w:rFonts w:ascii="Times New Roman" w:cs="Times New Roman" w:eastAsia="Times New Roman" w:hAnsi="Times New Roman"/>
          <w:sz w:val="18"/>
          <w:szCs w:val="18"/>
          <w:color w:val="auto"/>
        </w:rPr>
        <w:t>has the meaning set out in section 6.2 of this Policy.</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 xml:space="preserve">Employees </w:t>
      </w:r>
      <w:r>
        <w:rPr>
          <w:rFonts w:ascii="Times New Roman" w:cs="Times New Roman" w:eastAsia="Times New Roman" w:hAnsi="Times New Roman"/>
          <w:sz w:val="18"/>
          <w:szCs w:val="18"/>
          <w:color w:val="auto"/>
        </w:rPr>
        <w:t>has the meaning set out in section 2.1 of this Policy.</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 xml:space="preserve">ESPP </w:t>
      </w:r>
      <w:r>
        <w:rPr>
          <w:rFonts w:ascii="Times New Roman" w:cs="Times New Roman" w:eastAsia="Times New Roman" w:hAnsi="Times New Roman"/>
          <w:sz w:val="18"/>
          <w:szCs w:val="18"/>
          <w:color w:val="auto"/>
        </w:rPr>
        <w:t>has the meaning set out in section 5.1 of this Policy.</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 xml:space="preserve">Front Page Test </w:t>
      </w:r>
      <w:r>
        <w:rPr>
          <w:rFonts w:ascii="Times New Roman" w:cs="Times New Roman" w:eastAsia="Times New Roman" w:hAnsi="Times New Roman"/>
          <w:sz w:val="18"/>
          <w:szCs w:val="18"/>
          <w:color w:val="auto"/>
        </w:rPr>
        <w:t>has the meaning set out in section 3.6 of this Policy.</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 xml:space="preserve">Group </w:t>
      </w:r>
      <w:r>
        <w:rPr>
          <w:rFonts w:ascii="Times New Roman" w:cs="Times New Roman" w:eastAsia="Times New Roman" w:hAnsi="Times New Roman"/>
          <w:sz w:val="18"/>
          <w:szCs w:val="18"/>
          <w:color w:val="auto"/>
        </w:rPr>
        <w:t>has the meaning set out in section 1 of this Policy.</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 xml:space="preserve">Inside Information </w:t>
      </w:r>
      <w:r>
        <w:rPr>
          <w:rFonts w:ascii="Times New Roman" w:cs="Times New Roman" w:eastAsia="Times New Roman" w:hAnsi="Times New Roman"/>
          <w:sz w:val="18"/>
          <w:szCs w:val="18"/>
          <w:color w:val="auto"/>
        </w:rPr>
        <w:t>has the meaning in section 3.2 of this Policy.</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 xml:space="preserve">Listing Rules </w:t>
      </w:r>
      <w:r>
        <w:rPr>
          <w:rFonts w:ascii="Times New Roman" w:cs="Times New Roman" w:eastAsia="Times New Roman" w:hAnsi="Times New Roman"/>
          <w:sz w:val="18"/>
          <w:szCs w:val="18"/>
          <w:color w:val="auto"/>
        </w:rPr>
        <w:t>means listing rules of ASX Limited, the Nasdaq Stock Market and the Singapore Exchange (as applicable).</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 xml:space="preserve">Partner </w:t>
      </w:r>
      <w:r>
        <w:rPr>
          <w:rFonts w:ascii="Times New Roman" w:cs="Times New Roman" w:eastAsia="Times New Roman" w:hAnsi="Times New Roman"/>
          <w:sz w:val="18"/>
          <w:szCs w:val="18"/>
          <w:color w:val="auto"/>
        </w:rPr>
        <w:t>has the meaning set out in section 2.1 of this Policy.</w:t>
      </w:r>
    </w:p>
    <w:p>
      <w:pPr>
        <w:spacing w:after="0" w:line="225" w:lineRule="exact"/>
        <w:rPr>
          <w:sz w:val="20"/>
          <w:szCs w:val="20"/>
          <w:color w:val="auto"/>
        </w:rPr>
      </w:pPr>
    </w:p>
    <w:p>
      <w:pPr>
        <w:ind w:left="780"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Restricted Persons </w:t>
      </w:r>
      <w:r>
        <w:rPr>
          <w:rFonts w:ascii="Times New Roman" w:cs="Times New Roman" w:eastAsia="Times New Roman" w:hAnsi="Times New Roman"/>
          <w:sz w:val="18"/>
          <w:szCs w:val="18"/>
          <w:color w:val="auto"/>
        </w:rPr>
        <w:t>have additional restrictions and responsibilities, which are set out in this Policy. Certain aspects of this Policy apply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Restricted Persons. For the purposes of this Policy, Restricted Persons are: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1" w:name="page382"/>
    <w:bookmarkEnd w:id="381"/>
    <w:p>
      <w:pPr>
        <w:ind w:left="1420" w:hanging="643"/>
        <w:spacing w:after="0"/>
        <w:tabs>
          <w:tab w:leader="none" w:pos="142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of Telix;</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Company Secretary of Telix;</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Telix Group Executive Team and the Global Leadership Forum and their respective direct reports;</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Employee who is one of the Group’s key management personnel; and</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Employee or Partner designated by the Group Company Secretary from time to time.</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Telix </w:t>
      </w:r>
      <w:r>
        <w:rPr>
          <w:rFonts w:ascii="Times New Roman" w:cs="Times New Roman" w:eastAsia="Times New Roman" w:hAnsi="Times New Roman"/>
          <w:sz w:val="18"/>
          <w:szCs w:val="18"/>
          <w:color w:val="auto"/>
        </w:rPr>
        <w:t>means Telix Pharmaceuticals Limited.</w:t>
      </w:r>
    </w:p>
    <w:p>
      <w:pPr>
        <w:spacing w:after="0" w:line="225" w:lineRule="exact"/>
        <w:rPr>
          <w:sz w:val="20"/>
          <w:szCs w:val="20"/>
          <w:color w:val="auto"/>
        </w:rPr>
      </w:pPr>
    </w:p>
    <w:p>
      <w:pPr>
        <w:jc w:val="both"/>
        <w:ind w:left="760"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Telix Securities </w:t>
      </w:r>
      <w:r>
        <w:rPr>
          <w:rFonts w:ascii="Times New Roman" w:cs="Times New Roman" w:eastAsia="Times New Roman" w:hAnsi="Times New Roman"/>
          <w:sz w:val="18"/>
          <w:szCs w:val="18"/>
          <w:color w:val="auto"/>
        </w:rPr>
        <w:t>means shares, American Depositary Shares representing shares, and other instruments considered to be a security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the Corporations Act or Listing Rules. The definition of a security is complex and includes not only ordinary shares but also options, performance share appreciation rights and rights over ordinary shares, as well as exchange traded options and warrants.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Telix Share Plan Derivative </w:t>
      </w:r>
      <w:r>
        <w:rPr>
          <w:rFonts w:ascii="Times New Roman" w:cs="Times New Roman" w:eastAsia="Times New Roman" w:hAnsi="Times New Roman"/>
          <w:sz w:val="18"/>
          <w:szCs w:val="18"/>
          <w:color w:val="auto"/>
        </w:rPr>
        <w:t>has the meaning set out in section 5.1 of this Policy.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Trading Window </w:t>
      </w:r>
      <w:r>
        <w:rPr>
          <w:rFonts w:ascii="Times New Roman" w:cs="Times New Roman" w:eastAsia="Times New Roman" w:hAnsi="Times New Roman"/>
          <w:sz w:val="18"/>
          <w:szCs w:val="18"/>
          <w:color w:val="auto"/>
        </w:rPr>
        <w:t>has the meaning set out in section 6.1.</w:t>
      </w:r>
    </w:p>
    <w:p>
      <w:pPr>
        <w:spacing w:after="0" w:line="225" w:lineRule="exact"/>
        <w:rPr>
          <w:sz w:val="20"/>
          <w:szCs w:val="20"/>
          <w:color w:val="auto"/>
        </w:rPr>
      </w:pPr>
    </w:p>
    <w:p>
      <w:pPr>
        <w:ind w:left="680" w:hanging="672"/>
        <w:spacing w:after="0"/>
        <w:tabs>
          <w:tab w:leader="none" w:pos="680" w:val="left"/>
        </w:tabs>
        <w:numPr>
          <w:ilvl w:val="0"/>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Insider trading prohibition</w:t>
      </w:r>
    </w:p>
    <w:p>
      <w:pPr>
        <w:spacing w:after="0" w:line="229" w:lineRule="exact"/>
        <w:rPr>
          <w:sz w:val="20"/>
          <w:szCs w:val="20"/>
          <w:color w:val="auto"/>
        </w:rPr>
      </w:pPr>
    </w:p>
    <w:p>
      <w:pPr>
        <w:ind w:left="780" w:right="180"/>
        <w:spacing w:after="0" w:line="266" w:lineRule="auto"/>
        <w:rPr>
          <w:sz w:val="20"/>
          <w:szCs w:val="20"/>
          <w:color w:val="auto"/>
        </w:rPr>
      </w:pPr>
      <w:r>
        <w:rPr>
          <w:rFonts w:ascii="Times New Roman" w:cs="Times New Roman" w:eastAsia="Times New Roman" w:hAnsi="Times New Roman"/>
          <w:sz w:val="18"/>
          <w:szCs w:val="18"/>
          <w:color w:val="auto"/>
        </w:rPr>
        <w:t>Employees and Partners must comply with the law at all times when they are in possession of Inside Information. In particular, Employees and Partners must not engage in insider trading. This means that an Employee or Partner who possesses Inside Information in relation to Telix Securities or another entity’s securities must not:</w:t>
      </w:r>
    </w:p>
    <w:p>
      <w:pPr>
        <w:spacing w:after="0" w:line="176" w:lineRule="exact"/>
        <w:rPr>
          <w:sz w:val="20"/>
          <w:szCs w:val="20"/>
          <w:color w:val="auto"/>
        </w:rPr>
      </w:pPr>
    </w:p>
    <w:p>
      <w:pPr>
        <w:ind w:left="1420" w:hanging="643"/>
        <w:spacing w:after="0"/>
        <w:tabs>
          <w:tab w:leader="none" w:pos="142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acquire or dispose of those securities, or agree to do so; or</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procure, encourage, incite or induce any other person (for example, a family member, friend, or family) to do any of the above things; or</w:t>
      </w:r>
    </w:p>
    <w:p>
      <w:pPr>
        <w:spacing w:after="0" w:line="236" w:lineRule="exact"/>
        <w:rPr>
          <w:rFonts w:ascii="Times New Roman" w:cs="Times New Roman" w:eastAsia="Times New Roman" w:hAnsi="Times New Roman"/>
          <w:sz w:val="17"/>
          <w:szCs w:val="17"/>
          <w:color w:val="auto"/>
        </w:rPr>
      </w:pPr>
    </w:p>
    <w:p>
      <w:pPr>
        <w:ind w:left="1420" w:right="20" w:hanging="643"/>
        <w:spacing w:after="0" w:line="282" w:lineRule="auto"/>
        <w:tabs>
          <w:tab w:leader="none" w:pos="142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communicate the Inside Information to any other person, if the Employee or Partner knows or ought reasonably to know that the other person may use the information to do any of the above things.</w:t>
      </w:r>
    </w:p>
    <w:p>
      <w:pPr>
        <w:spacing w:after="0" w:line="162" w:lineRule="exact"/>
        <w:rPr>
          <w:sz w:val="20"/>
          <w:szCs w:val="20"/>
          <w:color w:val="auto"/>
        </w:rPr>
      </w:pPr>
    </w:p>
    <w:p>
      <w:pPr>
        <w:jc w:val="both"/>
        <w:ind w:left="780" w:right="280"/>
        <w:spacing w:after="0" w:line="261" w:lineRule="auto"/>
        <w:rPr>
          <w:sz w:val="20"/>
          <w:szCs w:val="20"/>
          <w:color w:val="auto"/>
        </w:rPr>
      </w:pPr>
      <w:r>
        <w:rPr>
          <w:rFonts w:ascii="Times New Roman" w:cs="Times New Roman" w:eastAsia="Times New Roman" w:hAnsi="Times New Roman"/>
          <w:sz w:val="18"/>
          <w:szCs w:val="18"/>
          <w:color w:val="auto"/>
        </w:rPr>
        <w:t>These restrictions apply to anything the Employee or Partner does on their own behalf, or on behalf of another person. These restrictions also apply to another person doing things on the Employee’s or Partner’s behalf. For example, if a family member acquires Telix Securities for an Employee or Partner while they are in possession of Inside Information in relation to those Securities, then the Employee or Partner may face insider trading liability.</w:t>
      </w:r>
    </w:p>
    <w:p>
      <w:pPr>
        <w:spacing w:after="0" w:line="17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Inside Information and other relevant terms</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Inside Information </w:t>
      </w:r>
      <w:r>
        <w:rPr>
          <w:rFonts w:ascii="Times New Roman" w:cs="Times New Roman" w:eastAsia="Times New Roman" w:hAnsi="Times New Roman"/>
          <w:sz w:val="18"/>
          <w:szCs w:val="18"/>
          <w:color w:val="auto"/>
        </w:rPr>
        <w:t>is information that:</w:t>
      </w:r>
    </w:p>
    <w:p>
      <w:pPr>
        <w:spacing w:after="0" w:line="229" w:lineRule="exact"/>
        <w:rPr>
          <w:sz w:val="20"/>
          <w:szCs w:val="20"/>
          <w:color w:val="auto"/>
        </w:rPr>
      </w:pPr>
    </w:p>
    <w:p>
      <w:pPr>
        <w:ind w:left="1420" w:hanging="643"/>
        <w:spacing w:after="0"/>
        <w:tabs>
          <w:tab w:leader="none" w:pos="142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generally available to the market; and</w:t>
      </w:r>
    </w:p>
    <w:p>
      <w:pPr>
        <w:spacing w:after="0" w:line="225" w:lineRule="exact"/>
        <w:rPr>
          <w:rFonts w:ascii="Times New Roman" w:cs="Times New Roman" w:eastAsia="Times New Roman" w:hAnsi="Times New Roman"/>
          <w:sz w:val="18"/>
          <w:szCs w:val="18"/>
          <w:color w:val="auto"/>
        </w:rPr>
      </w:pPr>
    </w:p>
    <w:p>
      <w:pPr>
        <w:ind w:left="1420" w:right="260" w:hanging="643"/>
        <w:spacing w:after="0" w:line="282" w:lineRule="auto"/>
        <w:tabs>
          <w:tab w:leader="none" w:pos="142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were generally available to the market, a reasonable person would expect it to have a material effect (upwards or downwards) on the price or value of a security.</w:t>
      </w:r>
    </w:p>
    <w:p>
      <w:pPr>
        <w:spacing w:after="0" w:line="15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xml:space="preserve">Information is </w:t>
      </w:r>
      <w:r>
        <w:rPr>
          <w:rFonts w:ascii="Times New Roman" w:cs="Times New Roman" w:eastAsia="Times New Roman" w:hAnsi="Times New Roman"/>
          <w:sz w:val="18"/>
          <w:szCs w:val="18"/>
          <w:b w:val="1"/>
          <w:bCs w:val="1"/>
          <w:color w:val="auto"/>
        </w:rPr>
        <w:t>generally available</w:t>
      </w:r>
      <w:r>
        <w:rPr>
          <w:rFonts w:ascii="Times New Roman" w:cs="Times New Roman" w:eastAsia="Times New Roman" w:hAnsi="Times New Roman"/>
          <w:sz w:val="18"/>
          <w:szCs w:val="18"/>
          <w:color w:val="auto"/>
        </w:rPr>
        <w:t xml:space="preserve"> if it:</w:t>
      </w:r>
    </w:p>
    <w:p>
      <w:pPr>
        <w:spacing w:after="0" w:line="229" w:lineRule="exact"/>
        <w:rPr>
          <w:sz w:val="20"/>
          <w:szCs w:val="20"/>
          <w:color w:val="auto"/>
        </w:rPr>
      </w:pPr>
    </w:p>
    <w:p>
      <w:pPr>
        <w:ind w:left="1420" w:hanging="638"/>
        <w:spacing w:after="0"/>
        <w:tabs>
          <w:tab w:leader="none" w:pos="142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readily observable matters or deductions;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2" w:name="page383"/>
    <w:bookmarkEnd w:id="382"/>
    <w:p>
      <w:pPr>
        <w:ind w:left="1420" w:hanging="643"/>
        <w:spacing w:after="0" w:line="266" w:lineRule="auto"/>
        <w:tabs>
          <w:tab w:leader="none" w:pos="142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brought to the attention of investors through an announcement to a relevant exchange or otherwise similarly brought to the attention of investors who commonly invest in securities and a reasonable period has elapsed since it was announced or brought to investors’ attention; or</w:t>
      </w:r>
    </w:p>
    <w:p>
      <w:pPr>
        <w:spacing w:after="0" w:line="17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deductions, conclusions or inferences made or drawn from information referred to in paragraphs (a) and (b).</w:t>
      </w:r>
    </w:p>
    <w:p>
      <w:pPr>
        <w:spacing w:after="0" w:line="22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xml:space="preserve">Examples of </w:t>
      </w:r>
      <w:r>
        <w:rPr>
          <w:rFonts w:ascii="Times New Roman" w:cs="Times New Roman" w:eastAsia="Times New Roman" w:hAnsi="Times New Roman"/>
          <w:sz w:val="18"/>
          <w:szCs w:val="18"/>
          <w:b w:val="1"/>
          <w:bCs w:val="1"/>
          <w:color w:val="auto"/>
        </w:rPr>
        <w:t>readily observable</w:t>
      </w:r>
      <w:r>
        <w:rPr>
          <w:rFonts w:ascii="Times New Roman" w:cs="Times New Roman" w:eastAsia="Times New Roman" w:hAnsi="Times New Roman"/>
          <w:sz w:val="18"/>
          <w:szCs w:val="18"/>
          <w:color w:val="auto"/>
        </w:rPr>
        <w:t xml:space="preserve"> matters are:</w:t>
      </w:r>
    </w:p>
    <w:p>
      <w:pPr>
        <w:spacing w:after="0" w:line="229" w:lineRule="exact"/>
        <w:rPr>
          <w:sz w:val="20"/>
          <w:szCs w:val="20"/>
          <w:color w:val="auto"/>
        </w:rPr>
      </w:pPr>
    </w:p>
    <w:p>
      <w:pPr>
        <w:ind w:left="1420" w:hanging="643"/>
        <w:spacing w:after="0"/>
        <w:tabs>
          <w:tab w:leader="none" w:pos="142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legislation which will affect Telix’s ability to make certain types of investments; or</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severe downturn in global securities markets.</w:t>
      </w:r>
    </w:p>
    <w:p>
      <w:pPr>
        <w:spacing w:after="0" w:line="221" w:lineRule="exact"/>
        <w:rPr>
          <w:sz w:val="20"/>
          <w:szCs w:val="20"/>
          <w:color w:val="auto"/>
        </w:rPr>
      </w:pPr>
    </w:p>
    <w:p>
      <w:pPr>
        <w:ind w:left="780" w:right="20"/>
        <w:spacing w:after="0" w:line="286" w:lineRule="auto"/>
        <w:rPr>
          <w:sz w:val="20"/>
          <w:szCs w:val="20"/>
          <w:color w:val="auto"/>
        </w:rPr>
      </w:pPr>
      <w:r>
        <w:rPr>
          <w:rFonts w:ascii="Times New Roman" w:cs="Times New Roman" w:eastAsia="Times New Roman" w:hAnsi="Times New Roman"/>
          <w:sz w:val="18"/>
          <w:szCs w:val="18"/>
          <w:color w:val="auto"/>
        </w:rPr>
        <w:t xml:space="preserve">Information is regarded as being likely to have a </w:t>
      </w:r>
      <w:r>
        <w:rPr>
          <w:rFonts w:ascii="Times New Roman" w:cs="Times New Roman" w:eastAsia="Times New Roman" w:hAnsi="Times New Roman"/>
          <w:sz w:val="18"/>
          <w:szCs w:val="18"/>
          <w:b w:val="1"/>
          <w:bCs w:val="1"/>
          <w:color w:val="auto"/>
        </w:rPr>
        <w:t>material effect</w:t>
      </w:r>
      <w:r>
        <w:rPr>
          <w:rFonts w:ascii="Times New Roman" w:cs="Times New Roman" w:eastAsia="Times New Roman" w:hAnsi="Times New Roman"/>
          <w:sz w:val="18"/>
          <w:szCs w:val="18"/>
          <w:color w:val="auto"/>
        </w:rPr>
        <w:t xml:space="preserve"> if it would, or would be likely to, influence persons who commonly invest in securities or other traded financial products in deciding whether or not to deal in the security.</w:t>
      </w:r>
    </w:p>
    <w:p>
      <w:pPr>
        <w:spacing w:after="0" w:line="15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Inside Information may include matters of supposition, matters that are not yet certain and matters relating to a person’s intentions.</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Some examples which may constitute Inside Information include:</w:t>
      </w:r>
    </w:p>
    <w:p>
      <w:pPr>
        <w:spacing w:after="0" w:line="225" w:lineRule="exact"/>
        <w:rPr>
          <w:sz w:val="20"/>
          <w:szCs w:val="20"/>
          <w:color w:val="auto"/>
        </w:rPr>
      </w:pPr>
    </w:p>
    <w:p>
      <w:pPr>
        <w:ind w:left="1420" w:hanging="643"/>
        <w:spacing w:after="0"/>
        <w:tabs>
          <w:tab w:leader="none" w:pos="142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Telix’s financial performance;</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Telix considering a major acquisition or disposal of assets, or a takeover or merger;</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undisclosed significant change in Telix’s market share;</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undisclosed material operational or regulatory developments;</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capital structure of Telix, including proposals to raise additional equity or increase debt;</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new initiatives or proposed changes in the nature of the business of Telix;</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Board or significant changes in key management personnel;</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likely entry into (or loss of) a material contract or government approval;</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likely receipt of grant (or decline) of a marketing authorization approval by a regulatory agency;</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dividend or other distribution or a change in dividend policy; or</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claim against Telix or other unexpected liability.</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Inside Information however obtained</w:t>
      </w:r>
    </w:p>
    <w:p>
      <w:pPr>
        <w:spacing w:after="0" w:line="229" w:lineRule="exact"/>
        <w:rPr>
          <w:sz w:val="20"/>
          <w:szCs w:val="20"/>
          <w:color w:val="auto"/>
        </w:rPr>
      </w:pPr>
    </w:p>
    <w:p>
      <w:pPr>
        <w:ind w:left="780" w:right="20"/>
        <w:spacing w:after="0" w:line="282" w:lineRule="auto"/>
        <w:rPr>
          <w:sz w:val="20"/>
          <w:szCs w:val="20"/>
          <w:color w:val="auto"/>
        </w:rPr>
      </w:pPr>
      <w:r>
        <w:rPr>
          <w:rFonts w:ascii="Times New Roman" w:cs="Times New Roman" w:eastAsia="Times New Roman" w:hAnsi="Times New Roman"/>
          <w:sz w:val="18"/>
          <w:szCs w:val="18"/>
          <w:color w:val="auto"/>
        </w:rPr>
        <w:t>It does not matter how or in what capacity a person becomes aware of the Inside Information. Information does not have to be obtained from Telix to constitute Inside Information.</w:t>
      </w:r>
    </w:p>
    <w:p>
      <w:pPr>
        <w:spacing w:after="0" w:line="15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8"/>
          <w:szCs w:val="18"/>
          <w:b w:val="1"/>
          <w:bCs w:val="1"/>
          <w:color w:val="auto"/>
        </w:rPr>
        <w:t>Extra-territorial application</w:t>
      </w:r>
    </w:p>
    <w:p>
      <w:pPr>
        <w:spacing w:after="0" w:line="229" w:lineRule="exact"/>
        <w:rPr>
          <w:sz w:val="20"/>
          <w:szCs w:val="20"/>
          <w:color w:val="auto"/>
        </w:rPr>
      </w:pPr>
    </w:p>
    <w:p>
      <w:pPr>
        <w:ind w:left="780"/>
        <w:spacing w:after="0" w:line="282" w:lineRule="auto"/>
        <w:rPr>
          <w:sz w:val="20"/>
          <w:szCs w:val="20"/>
          <w:color w:val="auto"/>
        </w:rPr>
      </w:pPr>
      <w:r>
        <w:rPr>
          <w:rFonts w:ascii="Times New Roman" w:cs="Times New Roman" w:eastAsia="Times New Roman" w:hAnsi="Times New Roman"/>
          <w:sz w:val="18"/>
          <w:szCs w:val="18"/>
          <w:color w:val="auto"/>
        </w:rPr>
        <w:t>Under the Corporations Act, the prohibition against insider trading applies to acts within Australia and acts outside Australia that involve the securities of companies that are Australian or do business in Australia.</w:t>
      </w:r>
    </w:p>
    <w:p>
      <w:pPr>
        <w:spacing w:after="0" w:line="16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law against insider trading applies to conduct relating to dealing in Telix Securities which occurs outside Australia and within Australia.</w:t>
      </w: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383" w:name="page384"/>
    <w:bookmarkEnd w:id="383"/>
    <w:p>
      <w:pPr>
        <w:ind w:left="780" w:right="360"/>
        <w:spacing w:after="0" w:line="282" w:lineRule="auto"/>
        <w:rPr>
          <w:sz w:val="20"/>
          <w:szCs w:val="20"/>
          <w:color w:val="auto"/>
        </w:rPr>
      </w:pPr>
      <w:r>
        <w:rPr>
          <w:rFonts w:ascii="Times New Roman" w:cs="Times New Roman" w:eastAsia="Times New Roman" w:hAnsi="Times New Roman"/>
          <w:sz w:val="18"/>
          <w:szCs w:val="18"/>
          <w:color w:val="auto"/>
        </w:rPr>
        <w:t>In Australia and the United States, insider trading can result in administrative, civil or criminal proceedings which can result in significant fines and civil penalties, being barred from service as an officer or director of a company, or imprisonment.</w:t>
      </w:r>
    </w:p>
    <w:p>
      <w:pPr>
        <w:spacing w:after="0" w:line="15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7"/>
          <w:szCs w:val="17"/>
          <w:b w:val="1"/>
          <w:bCs w:val="1"/>
          <w:color w:val="auto"/>
        </w:rPr>
        <w:t>Not limited to Telix information</w:t>
      </w:r>
    </w:p>
    <w:p>
      <w:pPr>
        <w:spacing w:after="0" w:line="229" w:lineRule="exact"/>
        <w:rPr>
          <w:sz w:val="20"/>
          <w:szCs w:val="20"/>
          <w:color w:val="auto"/>
        </w:rPr>
      </w:pPr>
    </w:p>
    <w:p>
      <w:pPr>
        <w:ind w:left="780" w:right="600"/>
        <w:spacing w:after="0" w:line="282" w:lineRule="auto"/>
        <w:rPr>
          <w:sz w:val="20"/>
          <w:szCs w:val="20"/>
          <w:color w:val="auto"/>
        </w:rPr>
      </w:pPr>
      <w:r>
        <w:rPr>
          <w:rFonts w:ascii="Times New Roman" w:cs="Times New Roman" w:eastAsia="Times New Roman" w:hAnsi="Times New Roman"/>
          <w:sz w:val="18"/>
          <w:szCs w:val="18"/>
          <w:color w:val="auto"/>
        </w:rPr>
        <w:t>The prohibition against insider trading applies to Inside Information held by an Employee or a Partner in respect of another company’s securities, as well as to Inside Information relating to Telix Securities.</w:t>
      </w:r>
    </w:p>
    <w:p>
      <w:pPr>
        <w:spacing w:after="0" w:line="162" w:lineRule="exact"/>
        <w:rPr>
          <w:sz w:val="20"/>
          <w:szCs w:val="20"/>
          <w:color w:val="auto"/>
        </w:rPr>
      </w:pPr>
    </w:p>
    <w:p>
      <w:pPr>
        <w:ind w:left="780" w:right="20"/>
        <w:spacing w:after="0" w:line="282" w:lineRule="auto"/>
        <w:rPr>
          <w:sz w:val="20"/>
          <w:szCs w:val="20"/>
          <w:color w:val="auto"/>
        </w:rPr>
      </w:pPr>
      <w:r>
        <w:rPr>
          <w:rFonts w:ascii="Times New Roman" w:cs="Times New Roman" w:eastAsia="Times New Roman" w:hAnsi="Times New Roman"/>
          <w:sz w:val="18"/>
          <w:szCs w:val="18"/>
          <w:color w:val="auto"/>
        </w:rPr>
        <w:t>In the course of performing their duties as an employee of Telix, Employees and Partners may obtain inside information relating to another company in a variety of circumstances. Examples include, but are not limited to the following:</w:t>
      </w:r>
    </w:p>
    <w:p>
      <w:pPr>
        <w:spacing w:after="0" w:line="162" w:lineRule="exact"/>
        <w:rPr>
          <w:sz w:val="20"/>
          <w:szCs w:val="20"/>
          <w:color w:val="auto"/>
        </w:rPr>
      </w:pPr>
    </w:p>
    <w:p>
      <w:pPr>
        <w:ind w:left="1420" w:hanging="643"/>
        <w:spacing w:after="0"/>
        <w:tabs>
          <w:tab w:leader="none" w:pos="14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company may provide inside information about itself to Telix in the course of a proposed transaction;</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company with which Telix is dealing may provide inside information about a third party; or</w:t>
      </w:r>
    </w:p>
    <w:p>
      <w:pPr>
        <w:spacing w:after="0" w:line="225" w:lineRule="exact"/>
        <w:rPr>
          <w:rFonts w:ascii="Times New Roman" w:cs="Times New Roman" w:eastAsia="Times New Roman" w:hAnsi="Times New Roman"/>
          <w:sz w:val="18"/>
          <w:szCs w:val="18"/>
          <w:color w:val="auto"/>
        </w:rPr>
      </w:pPr>
    </w:p>
    <w:p>
      <w:pPr>
        <w:ind w:left="1420" w:hanging="643"/>
        <w:spacing w:after="0" w:line="282" w:lineRule="auto"/>
        <w:tabs>
          <w:tab w:leader="none" w:pos="14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concerning Telix or actions which may be taken by Telix (i.e.. a planned transaction or strategic change) could reasonably have an effect on a third party.</w:t>
      </w:r>
    </w:p>
    <w:p>
      <w:pPr>
        <w:spacing w:after="0" w:line="15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7"/>
          <w:szCs w:val="17"/>
          <w:b w:val="1"/>
          <w:bCs w:val="1"/>
          <w:color w:val="auto"/>
        </w:rPr>
        <w:t>Front Page Test</w:t>
      </w:r>
    </w:p>
    <w:p>
      <w:pPr>
        <w:spacing w:after="0" w:line="229" w:lineRule="exact"/>
        <w:rPr>
          <w:sz w:val="20"/>
          <w:szCs w:val="20"/>
          <w:color w:val="auto"/>
        </w:rPr>
      </w:pPr>
    </w:p>
    <w:p>
      <w:pPr>
        <w:ind w:left="780" w:right="160"/>
        <w:spacing w:after="0" w:line="266" w:lineRule="auto"/>
        <w:rPr>
          <w:sz w:val="20"/>
          <w:szCs w:val="20"/>
          <w:color w:val="auto"/>
        </w:rPr>
      </w:pPr>
      <w:r>
        <w:rPr>
          <w:rFonts w:ascii="Times New Roman" w:cs="Times New Roman" w:eastAsia="Times New Roman" w:hAnsi="Times New Roman"/>
          <w:sz w:val="18"/>
          <w:szCs w:val="18"/>
          <w:color w:val="auto"/>
        </w:rPr>
        <w:t>It is important that public confidence in the Group is maintained. It would be damaging to the Group’s reputation if the market or the general public perceived that Employees or Partners might be taking advantage of their position in the Group to make financial gains (by dealing in securities on the basis of Inside Information).</w:t>
      </w:r>
    </w:p>
    <w:p>
      <w:pPr>
        <w:spacing w:after="0" w:line="17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As a guiding principle, Employees or Partners should ask themselves:</w:t>
      </w:r>
    </w:p>
    <w:p>
      <w:pPr>
        <w:spacing w:after="0" w:line="225" w:lineRule="exact"/>
        <w:rPr>
          <w:sz w:val="20"/>
          <w:szCs w:val="20"/>
          <w:color w:val="auto"/>
        </w:rPr>
      </w:pPr>
    </w:p>
    <w:p>
      <w:pPr>
        <w:ind w:left="780" w:right="60"/>
        <w:spacing w:after="0" w:line="282" w:lineRule="auto"/>
        <w:rPr>
          <w:sz w:val="20"/>
          <w:szCs w:val="20"/>
          <w:color w:val="auto"/>
        </w:rPr>
      </w:pPr>
      <w:r>
        <w:rPr>
          <w:rFonts w:ascii="Times New Roman" w:cs="Times New Roman" w:eastAsia="Times New Roman" w:hAnsi="Times New Roman"/>
          <w:sz w:val="18"/>
          <w:szCs w:val="18"/>
          <w:color w:val="auto"/>
        </w:rPr>
        <w:t>If the market was aware of all the current circumstances, could I be perceived to be taking advantage of my position in an inappropriate way? How would it look if the transaction were reported on the front page of the newspaper? (</w:t>
      </w:r>
      <w:r>
        <w:rPr>
          <w:rFonts w:ascii="Times New Roman" w:cs="Times New Roman" w:eastAsia="Times New Roman" w:hAnsi="Times New Roman"/>
          <w:sz w:val="18"/>
          <w:szCs w:val="18"/>
          <w:b w:val="1"/>
          <w:bCs w:val="1"/>
          <w:color w:val="auto"/>
        </w:rPr>
        <w:t>Front Page Test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If the Employee or Partner is unsure, they should consult the Group Company Secretary or the Group General Counsel.</w:t>
      </w:r>
    </w:p>
    <w:p>
      <w:pPr>
        <w:spacing w:after="0" w:line="225" w:lineRule="exact"/>
        <w:rPr>
          <w:sz w:val="20"/>
          <w:szCs w:val="20"/>
          <w:color w:val="auto"/>
        </w:rPr>
      </w:pPr>
    </w:p>
    <w:p>
      <w:pPr>
        <w:ind w:left="780" w:right="400"/>
        <w:spacing w:after="0" w:line="282" w:lineRule="auto"/>
        <w:rPr>
          <w:sz w:val="20"/>
          <w:szCs w:val="20"/>
          <w:color w:val="auto"/>
        </w:rPr>
      </w:pPr>
      <w:r>
        <w:rPr>
          <w:rFonts w:ascii="Times New Roman" w:cs="Times New Roman" w:eastAsia="Times New Roman" w:hAnsi="Times New Roman"/>
          <w:sz w:val="18"/>
          <w:szCs w:val="18"/>
          <w:color w:val="auto"/>
        </w:rPr>
        <w:t>Where any approval is required for a dealing under this Policy, approval will not be granted where the dealing would not satisfy the Front Page Test.</w:t>
      </w:r>
    </w:p>
    <w:p>
      <w:pPr>
        <w:spacing w:after="0" w:line="158" w:lineRule="exact"/>
        <w:rPr>
          <w:sz w:val="20"/>
          <w:szCs w:val="20"/>
          <w:color w:val="auto"/>
        </w:rPr>
      </w:pPr>
    </w:p>
    <w:p>
      <w:pPr>
        <w:ind w:left="680" w:hanging="672"/>
        <w:spacing w:after="0"/>
        <w:tabs>
          <w:tab w:leader="none" w:pos="680"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prohibitions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No short-term or speculative dealing</w:t>
      </w:r>
    </w:p>
    <w:p>
      <w:pPr>
        <w:spacing w:after="0" w:line="229" w:lineRule="exact"/>
        <w:rPr>
          <w:sz w:val="20"/>
          <w:szCs w:val="20"/>
          <w:color w:val="auto"/>
        </w:rPr>
      </w:pPr>
    </w:p>
    <w:p>
      <w:pPr>
        <w:ind w:left="780" w:right="260"/>
        <w:spacing w:after="0" w:line="282" w:lineRule="auto"/>
        <w:rPr>
          <w:sz w:val="20"/>
          <w:szCs w:val="20"/>
          <w:color w:val="auto"/>
        </w:rPr>
      </w:pPr>
      <w:r>
        <w:rPr>
          <w:rFonts w:ascii="Times New Roman" w:cs="Times New Roman" w:eastAsia="Times New Roman" w:hAnsi="Times New Roman"/>
          <w:sz w:val="18"/>
          <w:szCs w:val="18"/>
          <w:color w:val="auto"/>
        </w:rPr>
        <w:t>No Employee or Partner may deal in Telix Securities for short-term gain. Short-term trading includes buying and selling Telix Securities on market within a three-month period, and entering into other short-term dealings (for example, forward contracts).</w:t>
      </w:r>
    </w:p>
    <w:p>
      <w:pPr>
        <w:spacing w:after="0" w:line="15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No hedging of Telix Securities</w:t>
      </w:r>
    </w:p>
    <w:p>
      <w:pPr>
        <w:spacing w:after="0" w:line="229" w:lineRule="exact"/>
        <w:rPr>
          <w:sz w:val="20"/>
          <w:szCs w:val="20"/>
          <w:color w:val="auto"/>
        </w:rPr>
      </w:pPr>
    </w:p>
    <w:p>
      <w:pPr>
        <w:jc w:val="both"/>
        <w:ind w:left="780" w:right="160"/>
        <w:spacing w:after="0" w:line="289" w:lineRule="auto"/>
        <w:rPr>
          <w:sz w:val="20"/>
          <w:szCs w:val="20"/>
          <w:color w:val="auto"/>
        </w:rPr>
      </w:pPr>
      <w:r>
        <w:rPr>
          <w:rFonts w:ascii="Times New Roman" w:cs="Times New Roman" w:eastAsia="Times New Roman" w:hAnsi="Times New Roman"/>
          <w:sz w:val="17"/>
          <w:szCs w:val="17"/>
          <w:color w:val="auto"/>
        </w:rPr>
        <w:t>Hedging includes entering into arrangements that operate to limit the economic risk associated with holding Telix Securities. Telix Securities acquired under an equity incentive plan operated by the Group must never be hedged prior to vesting. Telix Securities must never be hedged while they are subject to a holding lock or restriction on dealing under the terms of an equity incentive plan operated by the Group.</w:t>
      </w:r>
    </w:p>
    <w:p>
      <w:pPr>
        <w:spacing w:after="0" w:line="3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384" w:name="page385"/>
    <w:bookmarkEnd w:id="384"/>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No dealing in Blackout Periods</w:t>
      </w:r>
    </w:p>
    <w:p>
      <w:pPr>
        <w:spacing w:after="0" w:line="229" w:lineRule="exact"/>
        <w:rPr>
          <w:sz w:val="20"/>
          <w:szCs w:val="20"/>
          <w:color w:val="auto"/>
        </w:rPr>
      </w:pPr>
    </w:p>
    <w:p>
      <w:pPr>
        <w:ind w:left="780" w:right="340"/>
        <w:spacing w:after="0" w:line="312" w:lineRule="auto"/>
        <w:rPr>
          <w:sz w:val="20"/>
          <w:szCs w:val="20"/>
          <w:color w:val="auto"/>
        </w:rPr>
      </w:pPr>
      <w:r>
        <w:rPr>
          <w:rFonts w:ascii="Times New Roman" w:cs="Times New Roman" w:eastAsia="Times New Roman" w:hAnsi="Times New Roman"/>
          <w:sz w:val="17"/>
          <w:szCs w:val="17"/>
          <w:color w:val="auto"/>
        </w:rPr>
        <w:t>There are certain periods in the year where Employees and Partners must not deal in Telix Securities due to the proximity of those periods to the release of Telix’s financial or trading results - and therefore a heightened risk of actual or perceived insider trading (</w:t>
      </w:r>
      <w:r>
        <w:rPr>
          <w:rFonts w:ascii="Times New Roman" w:cs="Times New Roman" w:eastAsia="Times New Roman" w:hAnsi="Times New Roman"/>
          <w:sz w:val="17"/>
          <w:szCs w:val="17"/>
          <w:b w:val="1"/>
          <w:bCs w:val="1"/>
          <w:color w:val="auto"/>
        </w:rPr>
        <w:t>Blackout Periods</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Employees or Partners are restricted from trading in Telix Securities during the Blackout Periods.</w:t>
      </w:r>
    </w:p>
    <w:p>
      <w:pPr>
        <w:spacing w:after="0" w:line="225" w:lineRule="exact"/>
        <w:rPr>
          <w:sz w:val="20"/>
          <w:szCs w:val="20"/>
          <w:color w:val="auto"/>
        </w:rPr>
      </w:pPr>
    </w:p>
    <w:p>
      <w:pPr>
        <w:ind w:left="780" w:right="460"/>
        <w:spacing w:after="0" w:line="282" w:lineRule="auto"/>
        <w:rPr>
          <w:sz w:val="20"/>
          <w:szCs w:val="20"/>
          <w:color w:val="auto"/>
        </w:rPr>
      </w:pPr>
      <w:r>
        <w:rPr>
          <w:rFonts w:ascii="Times New Roman" w:cs="Times New Roman" w:eastAsia="Times New Roman" w:hAnsi="Times New Roman"/>
          <w:sz w:val="18"/>
          <w:szCs w:val="18"/>
          <w:color w:val="auto"/>
        </w:rPr>
        <w:t>Blackout Periods are set out below. Note that even when a Blackout Period is not operating, Employees or Partners may be prevented from dealing in Telix Securities by applicable insider trading laws.</w:t>
      </w:r>
    </w:p>
    <w:p>
      <w:pPr>
        <w:spacing w:after="0" w:line="16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Employees and Partners are responsible for complying with the law at all times.</w:t>
      </w:r>
    </w:p>
    <w:p>
      <w:pPr>
        <w:spacing w:after="0" w:line="223" w:lineRule="exact"/>
        <w:rPr>
          <w:sz w:val="20"/>
          <w:szCs w:val="20"/>
          <w:color w:val="auto"/>
        </w:rPr>
      </w:pPr>
    </w:p>
    <w:tbl>
      <w:tblPr>
        <w:tblLayout w:type="fixed"/>
        <w:tblInd w:w="670" w:type="dxa"/>
        <w:tblCellMar>
          <w:top w:w="0" w:type="dxa"/>
          <w:left w:w="0" w:type="dxa"/>
          <w:bottom w:w="0" w:type="dxa"/>
          <w:right w:w="0" w:type="dxa"/>
        </w:tblCellMar>
      </w:tblPr>
      <w:tr>
        <w:trPr>
          <w:trHeight w:val="250"/>
        </w:trPr>
        <w:tc>
          <w:tcPr>
            <w:tcW w:w="520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Event</w:t>
            </w:r>
          </w:p>
        </w:tc>
        <w:tc>
          <w:tcPr>
            <w:tcW w:w="33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Blackout Period</w:t>
            </w:r>
          </w:p>
        </w:tc>
        <w:tc>
          <w:tcPr>
            <w:tcW w:w="2080" w:type="dxa"/>
            <w:vAlign w:val="bottom"/>
            <w:tcBorders>
              <w:top w:val="single" w:sz="8" w:color="auto"/>
              <w:bottom w:val="single" w:sz="8" w:color="auto"/>
              <w:right w:val="single" w:sz="8" w:color="auto"/>
            </w:tcBorders>
          </w:tcPr>
          <w:p>
            <w:pPr>
              <w:spacing w:after="0"/>
              <w:rPr>
                <w:sz w:val="21"/>
                <w:szCs w:val="21"/>
                <w:color w:val="auto"/>
              </w:rPr>
            </w:pPr>
          </w:p>
        </w:tc>
      </w:tr>
      <w:tr>
        <w:trPr>
          <w:trHeight w:val="198"/>
        </w:trPr>
        <w:tc>
          <w:tcPr>
            <w:tcW w:w="5200" w:type="dxa"/>
            <w:vAlign w:val="bottom"/>
            <w:tcBorders>
              <w:left w:val="single" w:sz="8" w:color="auto"/>
              <w:right w:val="single" w:sz="8" w:color="auto"/>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Release of Full Year Results</w:t>
            </w:r>
          </w:p>
        </w:tc>
        <w:tc>
          <w:tcPr>
            <w:tcW w:w="33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w w:val="99"/>
              </w:rPr>
              <w:t>From the close of trading on the ASX on 31</w:t>
            </w:r>
          </w:p>
        </w:tc>
        <w:tc>
          <w:tcPr>
            <w:tcW w:w="2080" w:type="dxa"/>
            <w:vAlign w:val="bottom"/>
            <w:tcBorders>
              <w:right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December each year</w:t>
            </w:r>
          </w:p>
        </w:tc>
      </w:tr>
      <w:tr>
        <w:trPr>
          <w:trHeight w:val="241"/>
        </w:trPr>
        <w:tc>
          <w:tcPr>
            <w:tcW w:w="520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380" w:type="dxa"/>
            <w:vAlign w:val="bottom"/>
            <w:tcBorders>
              <w:bottom w:val="single" w:sz="8" w:color="auto"/>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until the start of trading on the day following the release.</w:t>
            </w:r>
          </w:p>
        </w:tc>
      </w:tr>
      <w:tr>
        <w:trPr>
          <w:trHeight w:val="198"/>
        </w:trPr>
        <w:tc>
          <w:tcPr>
            <w:tcW w:w="520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Release of Half Year Results</w:t>
            </w:r>
          </w:p>
        </w:tc>
        <w:tc>
          <w:tcPr>
            <w:tcW w:w="33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w w:val="99"/>
              </w:rPr>
              <w:t>From the close of trading on the ASX on 30</w:t>
            </w:r>
          </w:p>
        </w:tc>
        <w:tc>
          <w:tcPr>
            <w:tcW w:w="208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June each year until the</w:t>
            </w:r>
          </w:p>
        </w:tc>
      </w:tr>
      <w:tr>
        <w:trPr>
          <w:trHeight w:val="241"/>
        </w:trPr>
        <w:tc>
          <w:tcPr>
            <w:tcW w:w="5200" w:type="dxa"/>
            <w:vAlign w:val="bottom"/>
            <w:tcBorders>
              <w:left w:val="single" w:sz="8" w:color="auto"/>
              <w:bottom w:val="single" w:sz="8" w:color="auto"/>
              <w:right w:val="single" w:sz="8" w:color="auto"/>
            </w:tcBorders>
          </w:tcPr>
          <w:p>
            <w:pPr>
              <w:spacing w:after="0"/>
              <w:rPr>
                <w:sz w:val="20"/>
                <w:szCs w:val="20"/>
                <w:color w:val="auto"/>
              </w:rPr>
            </w:pPr>
          </w:p>
        </w:tc>
        <w:tc>
          <w:tcPr>
            <w:tcW w:w="538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start of trading on the day following the release.</w:t>
            </w:r>
          </w:p>
        </w:tc>
      </w:tr>
      <w:tr>
        <w:trPr>
          <w:trHeight w:val="223"/>
        </w:trPr>
        <w:tc>
          <w:tcPr>
            <w:tcW w:w="5200" w:type="dxa"/>
            <w:vAlign w:val="bottom"/>
            <w:tcBorders>
              <w:left w:val="single" w:sz="8" w:color="auto"/>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Any other period that the Board specifies from time to time.</w:t>
            </w:r>
          </w:p>
        </w:tc>
        <w:tc>
          <w:tcPr>
            <w:tcW w:w="33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right w:val="single" w:sz="8" w:color="auto"/>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left="780" w:right="360"/>
        <w:spacing w:after="0" w:line="282" w:lineRule="auto"/>
        <w:rPr>
          <w:sz w:val="20"/>
          <w:szCs w:val="20"/>
          <w:color w:val="auto"/>
        </w:rPr>
      </w:pPr>
      <w:r>
        <w:rPr>
          <w:rFonts w:ascii="Times New Roman" w:cs="Times New Roman" w:eastAsia="Times New Roman" w:hAnsi="Times New Roman"/>
          <w:sz w:val="18"/>
          <w:szCs w:val="18"/>
          <w:color w:val="auto"/>
        </w:rPr>
        <w:t>An existing buy or sell order which has not been completed by the commencement of a Blackout Period must immediately be notified to the Group Company Secretary.</w:t>
      </w:r>
    </w:p>
    <w:p>
      <w:pPr>
        <w:spacing w:after="0" w:line="15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No margin lending</w:t>
      </w:r>
    </w:p>
    <w:p>
      <w:pPr>
        <w:spacing w:after="0" w:line="22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Employees and Partners must not engage in margin lending or other secured financing arrangements over Telix Securities.</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7"/>
          <w:szCs w:val="17"/>
          <w:b w:val="1"/>
          <w:bCs w:val="1"/>
          <w:color w:val="auto"/>
        </w:rPr>
        <w:t>No dealing in financial products issued over Telix Securities by third parties</w:t>
      </w:r>
    </w:p>
    <w:p>
      <w:pPr>
        <w:spacing w:after="0" w:line="229" w:lineRule="exact"/>
        <w:rPr>
          <w:sz w:val="20"/>
          <w:szCs w:val="20"/>
          <w:color w:val="auto"/>
        </w:rPr>
      </w:pPr>
    </w:p>
    <w:p>
      <w:pPr>
        <w:ind w:left="780" w:right="480"/>
        <w:spacing w:after="0" w:line="266" w:lineRule="auto"/>
        <w:rPr>
          <w:sz w:val="20"/>
          <w:szCs w:val="20"/>
          <w:color w:val="auto"/>
        </w:rPr>
      </w:pPr>
      <w:r>
        <w:rPr>
          <w:rFonts w:ascii="Times New Roman" w:cs="Times New Roman" w:eastAsia="Times New Roman" w:hAnsi="Times New Roman"/>
          <w:sz w:val="18"/>
          <w:szCs w:val="18"/>
          <w:color w:val="auto"/>
        </w:rPr>
        <w:t>Employees and Partners must not deal at any time in financial products such as derivatives, options, warrants, futures, forward contracts, swaps, contracts for difference or other financial products issued or created over or associated with Telix Securities by third parties such as banks and other institutions. An exception applies where Telix Securities form a component of a listed portfolio or index product.</w:t>
      </w:r>
    </w:p>
    <w:p>
      <w:pPr>
        <w:spacing w:after="0" w:line="172" w:lineRule="exact"/>
        <w:rPr>
          <w:sz w:val="20"/>
          <w:szCs w:val="20"/>
          <w:color w:val="auto"/>
        </w:rPr>
      </w:pPr>
    </w:p>
    <w:p>
      <w:pPr>
        <w:ind w:left="680" w:hanging="672"/>
        <w:spacing w:after="0"/>
        <w:tabs>
          <w:tab w:leader="none" w:pos="680"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Exemption for participation in Telix employee equity plans or similar schemes</w:t>
      </w:r>
    </w:p>
    <w:p>
      <w:pPr>
        <w:spacing w:after="0" w:line="22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restriction in section 4.3 does not apply to:</w:t>
      </w:r>
    </w:p>
    <w:p>
      <w:pPr>
        <w:spacing w:after="0" w:line="225" w:lineRule="exact"/>
        <w:rPr>
          <w:sz w:val="20"/>
          <w:szCs w:val="20"/>
          <w:color w:val="auto"/>
        </w:rPr>
      </w:pPr>
    </w:p>
    <w:p>
      <w:pPr>
        <w:ind w:left="1420" w:right="160" w:hanging="643"/>
        <w:spacing w:after="0" w:line="256" w:lineRule="auto"/>
        <w:tabs>
          <w:tab w:leader="none" w:pos="142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a Telix employee equity incentive plan. However, where Telix Securities granted under such a plan cease to be held under the terms of that plan, any dealings in those Telix Securities must only occur in accordance with this Policy. The exercise of any option, warrant, right or any other class of convertible security issued under a Telix employee equity plan (</w:t>
      </w:r>
      <w:r>
        <w:rPr>
          <w:rFonts w:ascii="Times New Roman" w:cs="Times New Roman" w:eastAsia="Times New Roman" w:hAnsi="Times New Roman"/>
          <w:sz w:val="18"/>
          <w:szCs w:val="18"/>
          <w:b w:val="1"/>
          <w:bCs w:val="1"/>
          <w:color w:val="auto"/>
        </w:rPr>
        <w:t>Telix Share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Derivative</w:t>
      </w:r>
      <w:r>
        <w:rPr>
          <w:rFonts w:ascii="Times New Roman" w:cs="Times New Roman" w:eastAsia="Times New Roman" w:hAnsi="Times New Roman"/>
          <w:sz w:val="18"/>
          <w:szCs w:val="18"/>
          <w:color w:val="auto"/>
        </w:rPr>
        <w:t>) should only occur outside of the Blackout Periods, unless otherwise approved by the Board (or delegate). In addition,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any Telix Share Plan Derivative must only occur when the Employee is not in possession of Inside Information. Dealings with shares issued on exercise or conversion of any Telix Share Plan Derivative are always subject to this Policy.</w:t>
      </w:r>
    </w:p>
    <w:p>
      <w:pPr>
        <w:spacing w:after="0" w:line="187" w:lineRule="exact"/>
        <w:rPr>
          <w:rFonts w:ascii="Times New Roman" w:cs="Times New Roman" w:eastAsia="Times New Roman" w:hAnsi="Times New Roman"/>
          <w:sz w:val="18"/>
          <w:szCs w:val="18"/>
          <w:color w:val="auto"/>
        </w:rPr>
      </w:pPr>
    </w:p>
    <w:p>
      <w:pPr>
        <w:jc w:val="both"/>
        <w:ind w:left="1420" w:hanging="643"/>
        <w:spacing w:after="0" w:line="261" w:lineRule="auto"/>
        <w:tabs>
          <w:tab w:leader="none" w:pos="142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ordinary shares or American Depositary Shares through periodic, automatic payroll contributions to a Company employee share purchase plan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However, electing to enroll in an ESPP, making any changes in elections under an ESPP or terminating contributions under an ESPP are not permitted during a Blackout Period or while the Employee is in possession of Inside Information. In addition, any ordinary shares or American Depositary Shares issued under an ESPP are subject to this Policy.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5" w:name="page386"/>
    <w:bookmarkEnd w:id="385"/>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Other exemptions - exceptional circumstances</w:t>
      </w:r>
    </w:p>
    <w:p>
      <w:pPr>
        <w:spacing w:after="0" w:line="229" w:lineRule="exact"/>
        <w:rPr>
          <w:sz w:val="20"/>
          <w:szCs w:val="20"/>
          <w:color w:val="auto"/>
        </w:rPr>
      </w:pPr>
    </w:p>
    <w:p>
      <w:pPr>
        <w:ind w:left="780" w:right="460"/>
        <w:spacing w:after="0" w:line="282" w:lineRule="auto"/>
        <w:rPr>
          <w:sz w:val="20"/>
          <w:szCs w:val="20"/>
          <w:color w:val="auto"/>
        </w:rPr>
      </w:pPr>
      <w:r>
        <w:rPr>
          <w:rFonts w:ascii="Times New Roman" w:cs="Times New Roman" w:eastAsia="Times New Roman" w:hAnsi="Times New Roman"/>
          <w:sz w:val="18"/>
          <w:szCs w:val="18"/>
          <w:color w:val="auto"/>
        </w:rPr>
        <w:t>In exceptional circumstances, Employees and Partners may be given prior written clearance to dispose of (but not acquire) Telix Securities where they would otherwise be restricted by this Policy due to the application of a Blackout Period.</w:t>
      </w:r>
    </w:p>
    <w:p>
      <w:pPr>
        <w:spacing w:after="0" w:line="162" w:lineRule="exact"/>
        <w:rPr>
          <w:sz w:val="20"/>
          <w:szCs w:val="20"/>
          <w:color w:val="auto"/>
        </w:rPr>
      </w:pPr>
    </w:p>
    <w:p>
      <w:pPr>
        <w:ind w:left="780"/>
        <w:spacing w:after="0" w:line="282" w:lineRule="auto"/>
        <w:rPr>
          <w:sz w:val="20"/>
          <w:szCs w:val="20"/>
          <w:color w:val="auto"/>
        </w:rPr>
      </w:pPr>
      <w:r>
        <w:rPr>
          <w:rFonts w:ascii="Times New Roman" w:cs="Times New Roman" w:eastAsia="Times New Roman" w:hAnsi="Times New Roman"/>
          <w:sz w:val="18"/>
          <w:szCs w:val="18"/>
          <w:color w:val="auto"/>
        </w:rPr>
        <w:t>Exceptional circumstances may include severe financial hardship, a requirement under a court order, court enforceable undertaking or other legal or regulatory requirement (for example, a family law settlement).</w:t>
      </w:r>
    </w:p>
    <w:p>
      <w:pPr>
        <w:spacing w:after="0" w:line="162" w:lineRule="exact"/>
        <w:rPr>
          <w:sz w:val="20"/>
          <w:szCs w:val="20"/>
          <w:color w:val="auto"/>
        </w:rPr>
      </w:pPr>
    </w:p>
    <w:p>
      <w:pPr>
        <w:ind w:left="780" w:right="520"/>
        <w:spacing w:after="0" w:line="282" w:lineRule="auto"/>
        <w:rPr>
          <w:sz w:val="20"/>
          <w:szCs w:val="20"/>
          <w:color w:val="auto"/>
        </w:rPr>
      </w:pPr>
      <w:r>
        <w:rPr>
          <w:rFonts w:ascii="Times New Roman" w:cs="Times New Roman" w:eastAsia="Times New Roman" w:hAnsi="Times New Roman"/>
          <w:sz w:val="18"/>
          <w:szCs w:val="18"/>
          <w:color w:val="auto"/>
        </w:rPr>
        <w:t>Approval to dispose of Telix Securities will only be considered if the application is in the form specified by Telix from time to time and is accompanied by:</w:t>
      </w:r>
    </w:p>
    <w:p>
      <w:pPr>
        <w:spacing w:after="0" w:line="162" w:lineRule="exact"/>
        <w:rPr>
          <w:sz w:val="20"/>
          <w:szCs w:val="20"/>
          <w:color w:val="auto"/>
        </w:rPr>
      </w:pPr>
    </w:p>
    <w:p>
      <w:pPr>
        <w:ind w:left="1420" w:hanging="643"/>
        <w:spacing w:after="0"/>
        <w:tabs>
          <w:tab w:leader="none" w:pos="14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the proposed dealing including the number of Telix Securities to be disposed and date for executing the proposed dealing;</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that the Employee or Partner is not in possession of Inside Information in relation to Telix Securities; and</w:t>
      </w:r>
    </w:p>
    <w:p>
      <w:pPr>
        <w:spacing w:after="0" w:line="225" w:lineRule="exact"/>
        <w:rPr>
          <w:rFonts w:ascii="Times New Roman" w:cs="Times New Roman" w:eastAsia="Times New Roman" w:hAnsi="Times New Roman"/>
          <w:sz w:val="18"/>
          <w:szCs w:val="18"/>
          <w:color w:val="auto"/>
        </w:rPr>
      </w:pPr>
    </w:p>
    <w:p>
      <w:pPr>
        <w:ind w:left="1420" w:right="80" w:hanging="643"/>
        <w:spacing w:after="0" w:line="282" w:lineRule="auto"/>
        <w:tabs>
          <w:tab w:leader="none" w:pos="14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evidence (in the opinion of the person providing clearance) that the disposal is the most reasonable course of action available in the circumstances.</w:t>
      </w:r>
    </w:p>
    <w:p>
      <w:pPr>
        <w:spacing w:after="0" w:line="162" w:lineRule="exact"/>
        <w:rPr>
          <w:sz w:val="20"/>
          <w:szCs w:val="20"/>
          <w:color w:val="auto"/>
        </w:rPr>
      </w:pPr>
    </w:p>
    <w:p>
      <w:pPr>
        <w:ind w:left="780" w:right="400"/>
        <w:spacing w:after="0" w:line="261" w:lineRule="auto"/>
        <w:rPr>
          <w:sz w:val="20"/>
          <w:szCs w:val="20"/>
          <w:color w:val="auto"/>
        </w:rPr>
      </w:pPr>
      <w:r>
        <w:rPr>
          <w:rFonts w:ascii="Times New Roman" w:cs="Times New Roman" w:eastAsia="Times New Roman" w:hAnsi="Times New Roman"/>
          <w:sz w:val="18"/>
          <w:szCs w:val="18"/>
          <w:color w:val="auto"/>
        </w:rPr>
        <w:t>All requests must be sent via the Group Company Secretary. Applications will be considered by the Group CEO (in the case of Restricted Persons or their Connected Persons other than Directors); the Chairperson of the Board (in the case of the Group CEO or other Directors or their Connected Persons); or the Chair of the Audit and Risk Committee (in the case of the Chairperson of the Board or their Connected Persons) (</w:t>
      </w:r>
      <w:r>
        <w:rPr>
          <w:rFonts w:ascii="Times New Roman" w:cs="Times New Roman" w:eastAsia="Times New Roman" w:hAnsi="Times New Roman"/>
          <w:sz w:val="18"/>
          <w:szCs w:val="18"/>
          <w:b w:val="1"/>
          <w:bCs w:val="1"/>
          <w:color w:val="auto"/>
        </w:rPr>
        <w:t>Approver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780" w:right="520"/>
        <w:spacing w:after="0" w:line="282" w:lineRule="auto"/>
        <w:rPr>
          <w:sz w:val="20"/>
          <w:szCs w:val="20"/>
          <w:color w:val="auto"/>
        </w:rPr>
      </w:pPr>
      <w:r>
        <w:rPr>
          <w:rFonts w:ascii="Times New Roman" w:cs="Times New Roman" w:eastAsia="Times New Roman" w:hAnsi="Times New Roman"/>
          <w:sz w:val="18"/>
          <w:szCs w:val="18"/>
          <w:color w:val="auto"/>
        </w:rPr>
        <w:t>The Approver has sole discretion to decide whether or not exceptional circumstances exist and approval should be granted. The Approver may withdraw approval if new information comes to light.</w:t>
      </w:r>
    </w:p>
    <w:p>
      <w:pPr>
        <w:spacing w:after="0" w:line="162" w:lineRule="exact"/>
        <w:rPr>
          <w:sz w:val="20"/>
          <w:szCs w:val="20"/>
          <w:color w:val="auto"/>
        </w:rPr>
      </w:pPr>
    </w:p>
    <w:p>
      <w:pPr>
        <w:jc w:val="both"/>
        <w:ind w:left="780" w:right="320"/>
        <w:spacing w:after="0" w:line="266" w:lineRule="auto"/>
        <w:rPr>
          <w:sz w:val="20"/>
          <w:szCs w:val="20"/>
          <w:color w:val="auto"/>
        </w:rPr>
      </w:pPr>
      <w:r>
        <w:rPr>
          <w:rFonts w:ascii="Times New Roman" w:cs="Times New Roman" w:eastAsia="Times New Roman" w:hAnsi="Times New Roman"/>
          <w:sz w:val="18"/>
          <w:szCs w:val="18"/>
          <w:color w:val="auto"/>
        </w:rPr>
        <w:t>Any approved dealing must occur within two business days following approval (or such other time specified in the approval). The requester must send the Group Company Secretary confirmation in writing once the dealing has occurred, specifying the number of securities affected and the relevant parties to the dealing (to the extent known).</w:t>
      </w:r>
    </w:p>
    <w:p>
      <w:pPr>
        <w:spacing w:after="0" w:line="1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Other exemptions - excluded dealings</w:t>
      </w:r>
    </w:p>
    <w:p>
      <w:pPr>
        <w:spacing w:after="0" w:line="229" w:lineRule="exact"/>
        <w:rPr>
          <w:sz w:val="20"/>
          <w:szCs w:val="20"/>
          <w:color w:val="auto"/>
        </w:rPr>
      </w:pPr>
    </w:p>
    <w:p>
      <w:pPr>
        <w:ind w:left="780" w:right="740"/>
        <w:spacing w:after="0" w:line="282" w:lineRule="auto"/>
        <w:rPr>
          <w:sz w:val="20"/>
          <w:szCs w:val="20"/>
          <w:color w:val="auto"/>
        </w:rPr>
      </w:pPr>
      <w:r>
        <w:rPr>
          <w:rFonts w:ascii="Times New Roman" w:cs="Times New Roman" w:eastAsia="Times New Roman" w:hAnsi="Times New Roman"/>
          <w:sz w:val="18"/>
          <w:szCs w:val="18"/>
          <w:color w:val="auto"/>
        </w:rPr>
        <w:t>Without affecting the obligation of Employees, Partners and/or their Connected Persons to ensure they comply at all times with insider trading laws, the Policy does not apply to the following categories of trades:</w:t>
      </w:r>
    </w:p>
    <w:p>
      <w:pPr>
        <w:spacing w:after="0" w:line="162" w:lineRule="exact"/>
        <w:rPr>
          <w:sz w:val="20"/>
          <w:szCs w:val="20"/>
          <w:color w:val="auto"/>
        </w:rPr>
      </w:pPr>
    </w:p>
    <w:p>
      <w:pPr>
        <w:ind w:left="1420" w:hanging="643"/>
        <w:spacing w:after="0"/>
        <w:tabs>
          <w:tab w:leader="none" w:pos="142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Telix Securities through a dividend reinvestment plan;</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Telix Securities through a share purchase plan available to all shareholders;</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Telix Securities through a rights issue or other pro rata entitlement offer available to all shareholders;</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disposal of Telix Securities through the acceptance of a takeover offer, scheme of arrangement or equal access buy-back;</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dealings that result in no effective change to the beneficial interest in Telix Securities; and</w:t>
      </w:r>
    </w:p>
    <w:p>
      <w:pPr>
        <w:spacing w:after="0" w:line="225" w:lineRule="exact"/>
        <w:rPr>
          <w:rFonts w:ascii="Times New Roman" w:cs="Times New Roman" w:eastAsia="Times New Roman" w:hAnsi="Times New Roman"/>
          <w:sz w:val="18"/>
          <w:szCs w:val="18"/>
          <w:color w:val="auto"/>
        </w:rPr>
      </w:pPr>
    </w:p>
    <w:p>
      <w:pPr>
        <w:jc w:val="both"/>
        <w:ind w:left="1420" w:right="40" w:hanging="643"/>
        <w:spacing w:after="0" w:line="266" w:lineRule="auto"/>
        <w:tabs>
          <w:tab w:leader="none" w:pos="142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under a pre-approved non-discretionary trading plan, where the Employee did not enter into the plan or amend the plan during a Blackout Period, the plan does not permit the Employee to exercise any influence or discretion in relation to trading under the plan, and the plan cannot be cancelled during a Blackout Period or while the Employee is in possession of Inside Information.</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6" w:name="page387"/>
    <w:bookmarkEnd w:id="386"/>
    <w:p>
      <w:pPr>
        <w:ind w:left="1440" w:right="60"/>
        <w:spacing w:after="0" w:line="282" w:lineRule="auto"/>
        <w:rPr>
          <w:sz w:val="20"/>
          <w:szCs w:val="20"/>
          <w:color w:val="auto"/>
        </w:rPr>
      </w:pPr>
      <w:r>
        <w:rPr>
          <w:rFonts w:ascii="Times New Roman" w:cs="Times New Roman" w:eastAsia="Times New Roman" w:hAnsi="Times New Roman"/>
          <w:sz w:val="18"/>
          <w:szCs w:val="18"/>
          <w:color w:val="auto"/>
        </w:rPr>
        <w:t>Telix may require additional terms or restrictions for pre-approved non-discretionary trading plans in compliance with applicable laws, including the Corporations Act and the U.S. Securities Exchange Act.</w:t>
      </w:r>
    </w:p>
    <w:p>
      <w:pPr>
        <w:spacing w:after="0" w:line="158" w:lineRule="exact"/>
        <w:rPr>
          <w:sz w:val="20"/>
          <w:szCs w:val="20"/>
          <w:color w:val="auto"/>
        </w:rPr>
      </w:pPr>
    </w:p>
    <w:p>
      <w:pPr>
        <w:ind w:left="680" w:hanging="672"/>
        <w:spacing w:after="0"/>
        <w:tabs>
          <w:tab w:leader="none" w:pos="680" w:val="left"/>
        </w:tabs>
        <w:numPr>
          <w:ilvl w:val="0"/>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Persons: additional restrictions and responsibilities</w:t>
      </w:r>
    </w:p>
    <w:p>
      <w:pPr>
        <w:spacing w:after="0" w:line="25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6.1</w:t>
      </w:r>
      <w:r>
        <w:rPr>
          <w:rFonts w:ascii="Times New Roman" w:cs="Times New Roman" w:eastAsia="Times New Roman" w:hAnsi="Times New Roman"/>
          <w:sz w:val="17"/>
          <w:szCs w:val="17"/>
          <w:b w:val="1"/>
          <w:bCs w:val="1"/>
          <w:color w:val="auto"/>
        </w:rPr>
        <w:t>Restricted Persons only to trade in Trading Windows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jc w:val="both"/>
        <w:ind w:left="780" w:right="420"/>
        <w:spacing w:after="0" w:line="268" w:lineRule="auto"/>
        <w:rPr>
          <w:sz w:val="20"/>
          <w:szCs w:val="20"/>
          <w:color w:val="auto"/>
        </w:rPr>
      </w:pPr>
      <w:r>
        <w:rPr>
          <w:rFonts w:ascii="Times New Roman" w:cs="Times New Roman" w:eastAsia="Times New Roman" w:hAnsi="Times New Roman"/>
          <w:sz w:val="18"/>
          <w:szCs w:val="18"/>
          <w:color w:val="auto"/>
        </w:rPr>
        <w:t>Restricted Persons may only trade in a notified trading window (</w:t>
      </w:r>
      <w:r>
        <w:rPr>
          <w:rFonts w:ascii="Times New Roman" w:cs="Times New Roman" w:eastAsia="Times New Roman" w:hAnsi="Times New Roman"/>
          <w:sz w:val="18"/>
          <w:szCs w:val="18"/>
          <w:b w:val="1"/>
          <w:bCs w:val="1"/>
          <w:color w:val="auto"/>
        </w:rPr>
        <w:t>Trading Window</w:t>
      </w:r>
      <w:r>
        <w:rPr>
          <w:rFonts w:ascii="Times New Roman" w:cs="Times New Roman" w:eastAsia="Times New Roman" w:hAnsi="Times New Roman"/>
          <w:sz w:val="18"/>
          <w:szCs w:val="18"/>
          <w:color w:val="auto"/>
        </w:rPr>
        <w:t>). Trading Windows are considered and approved by the Board. Notification of a Trading Window will be made by the Group Company Secretary via email and will detail the window timing and other restrictions or instructions as approved by the Board.</w:t>
      </w:r>
    </w:p>
    <w:p>
      <w:pPr>
        <w:spacing w:after="0" w:line="175" w:lineRule="exact"/>
        <w:rPr>
          <w:sz w:val="20"/>
          <w:szCs w:val="20"/>
          <w:color w:val="auto"/>
        </w:rPr>
      </w:pPr>
    </w:p>
    <w:p>
      <w:pPr>
        <w:ind w:left="780" w:right="360"/>
        <w:spacing w:after="0" w:line="282" w:lineRule="auto"/>
        <w:rPr>
          <w:sz w:val="20"/>
          <w:szCs w:val="20"/>
          <w:color w:val="auto"/>
        </w:rPr>
      </w:pPr>
      <w:r>
        <w:rPr>
          <w:rFonts w:ascii="Times New Roman" w:cs="Times New Roman" w:eastAsia="Times New Roman" w:hAnsi="Times New Roman"/>
          <w:sz w:val="18"/>
          <w:szCs w:val="18"/>
          <w:color w:val="auto"/>
        </w:rPr>
        <w:t>As the Board may vary, suspend or terminate (conditionally or unconditionally) a Trading Window at any time, Restricted Persons must not assume that a Trading Window is open in the absence of notification.</w:t>
      </w:r>
    </w:p>
    <w:p>
      <w:pPr>
        <w:spacing w:after="0" w:line="162" w:lineRule="exact"/>
        <w:rPr>
          <w:sz w:val="20"/>
          <w:szCs w:val="20"/>
          <w:color w:val="auto"/>
        </w:rPr>
      </w:pPr>
    </w:p>
    <w:p>
      <w:pPr>
        <w:ind w:left="780" w:right="180"/>
        <w:spacing w:after="0" w:line="266" w:lineRule="auto"/>
        <w:rPr>
          <w:sz w:val="20"/>
          <w:szCs w:val="20"/>
          <w:color w:val="auto"/>
        </w:rPr>
      </w:pPr>
      <w:r>
        <w:rPr>
          <w:rFonts w:ascii="Times New Roman" w:cs="Times New Roman" w:eastAsia="Times New Roman" w:hAnsi="Times New Roman"/>
          <w:sz w:val="18"/>
          <w:szCs w:val="18"/>
          <w:color w:val="auto"/>
        </w:rPr>
        <w:t>When dealing in Telix Securities on market at the market price, orders can be placed until market-close on the last day of a Trading Window. Dealings involving conditional orders being placed during a Trading Window (e.g. a specified, minimum sell or maximum purchase price or a stop-loss instruction) that are not executed during the Trading Window are in breach of this Policy.</w:t>
      </w:r>
    </w:p>
    <w:p>
      <w:pPr>
        <w:spacing w:after="0" w:line="1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Connected Persons</w:t>
      </w:r>
    </w:p>
    <w:p>
      <w:pPr>
        <w:spacing w:after="0" w:line="229" w:lineRule="exact"/>
        <w:rPr>
          <w:sz w:val="20"/>
          <w:szCs w:val="20"/>
          <w:color w:val="auto"/>
        </w:rPr>
      </w:pPr>
    </w:p>
    <w:p>
      <w:pPr>
        <w:ind w:left="780" w:right="100"/>
        <w:spacing w:after="0" w:line="266" w:lineRule="auto"/>
        <w:rPr>
          <w:sz w:val="20"/>
          <w:szCs w:val="20"/>
          <w:color w:val="auto"/>
        </w:rPr>
      </w:pPr>
      <w:r>
        <w:rPr>
          <w:rFonts w:ascii="Times New Roman" w:cs="Times New Roman" w:eastAsia="Times New Roman" w:hAnsi="Times New Roman"/>
          <w:sz w:val="18"/>
          <w:szCs w:val="18"/>
          <w:color w:val="auto"/>
        </w:rPr>
        <w:t>Restricted Persons must take appropriate steps to ensure that their Connected Persons only deal in Telix Securities in circumstances where the Restricted Person to whom they are connected would be permitted to deal under this Policy. For example, by obtaining clearance in accordance with this Policy in respect of the Connected Person’s dealings.</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Connected Persons </w:t>
      </w:r>
      <w:r>
        <w:rPr>
          <w:rFonts w:ascii="Times New Roman" w:cs="Times New Roman" w:eastAsia="Times New Roman" w:hAnsi="Times New Roman"/>
          <w:sz w:val="18"/>
          <w:szCs w:val="18"/>
          <w:color w:val="auto"/>
        </w:rPr>
        <w:t>are:</w:t>
      </w:r>
    </w:p>
    <w:p>
      <w:pPr>
        <w:spacing w:after="0" w:line="229" w:lineRule="exact"/>
        <w:rPr>
          <w:sz w:val="20"/>
          <w:szCs w:val="20"/>
          <w:color w:val="auto"/>
        </w:rPr>
      </w:pPr>
    </w:p>
    <w:p>
      <w:pPr>
        <w:ind w:left="1420" w:hanging="643"/>
        <w:spacing w:after="0" w:line="266" w:lineRule="auto"/>
        <w:tabs>
          <w:tab w:leader="none" w:pos="142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family member who may be expected to influence, or be influenced by, the Restricted Person in his or her dealings with Telix or Telix Securities (this may include the Restricted Person’s spouse, partner and children, the children of the Restricted Person’s partner, or dependents of the Restricted Person or the Restricted Person’s partner); and</w:t>
      </w:r>
    </w:p>
    <w:p>
      <w:pPr>
        <w:spacing w:after="0" w:line="17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or any other entity which the Restricted Person has an ability to control.</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If relevant, a Restricted Person must:</w:t>
      </w:r>
    </w:p>
    <w:p>
      <w:pPr>
        <w:spacing w:after="0" w:line="225" w:lineRule="exact"/>
        <w:rPr>
          <w:sz w:val="20"/>
          <w:szCs w:val="20"/>
          <w:color w:val="auto"/>
        </w:rPr>
      </w:pPr>
    </w:p>
    <w:p>
      <w:pPr>
        <w:ind w:left="1420" w:hanging="643"/>
        <w:spacing w:after="0"/>
        <w:tabs>
          <w:tab w:leader="none" w:pos="142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their Connected Persons about this Policy: and</w:t>
      </w:r>
    </w:p>
    <w:p>
      <w:pPr>
        <w:spacing w:after="0" w:line="225"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on behalf of their Connected Persons in relation to requests for approval.</w:t>
      </w:r>
    </w:p>
    <w:p>
      <w:pPr>
        <w:spacing w:after="0" w:line="225" w:lineRule="exact"/>
        <w:rPr>
          <w:sz w:val="20"/>
          <w:szCs w:val="20"/>
          <w:color w:val="auto"/>
        </w:rPr>
      </w:pPr>
    </w:p>
    <w:p>
      <w:pPr>
        <w:ind w:left="780" w:right="560"/>
        <w:spacing w:after="0" w:line="282" w:lineRule="auto"/>
        <w:rPr>
          <w:sz w:val="20"/>
          <w:szCs w:val="20"/>
          <w:color w:val="auto"/>
        </w:rPr>
      </w:pPr>
      <w:r>
        <w:rPr>
          <w:rFonts w:ascii="Times New Roman" w:cs="Times New Roman" w:eastAsia="Times New Roman" w:hAnsi="Times New Roman"/>
          <w:sz w:val="18"/>
          <w:szCs w:val="18"/>
          <w:color w:val="auto"/>
        </w:rPr>
        <w:t>If you are in doubt as to whether a person is a Connected Person and the application of this Policy to them, you should contact the Group Company Secretary who will make a determination on the issue.</w:t>
      </w:r>
    </w:p>
    <w:p>
      <w:pPr>
        <w:spacing w:after="0" w:line="15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8"/>
          <w:szCs w:val="18"/>
          <w:b w:val="1"/>
          <w:bCs w:val="1"/>
          <w:color w:val="auto"/>
        </w:rPr>
        <w:t>Prior notification</w:t>
      </w:r>
    </w:p>
    <w:p>
      <w:pPr>
        <w:spacing w:after="0" w:line="229" w:lineRule="exact"/>
        <w:rPr>
          <w:sz w:val="20"/>
          <w:szCs w:val="20"/>
          <w:color w:val="auto"/>
        </w:rPr>
      </w:pPr>
    </w:p>
    <w:p>
      <w:pPr>
        <w:ind w:left="780" w:right="580"/>
        <w:spacing w:after="0" w:line="266" w:lineRule="auto"/>
        <w:rPr>
          <w:sz w:val="20"/>
          <w:szCs w:val="20"/>
          <w:color w:val="auto"/>
        </w:rPr>
      </w:pPr>
      <w:r>
        <w:rPr>
          <w:rFonts w:ascii="Times New Roman" w:cs="Times New Roman" w:eastAsia="Times New Roman" w:hAnsi="Times New Roman"/>
          <w:sz w:val="18"/>
          <w:szCs w:val="18"/>
          <w:color w:val="auto"/>
        </w:rPr>
        <w:t>Restricted Persons must notify the Chairperson of the Board and the Group Company Secretary (in the case of directors) or the Group Company Secretary (in the case of other Restricted Persons) prior to the commencement of any trade, including in respect of any of their Connected Persons.</w:t>
      </w:r>
    </w:p>
    <w:p>
      <w:pPr>
        <w:spacing w:after="0" w:line="1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8"/>
          <w:szCs w:val="18"/>
          <w:b w:val="1"/>
          <w:bCs w:val="1"/>
          <w:color w:val="auto"/>
        </w:rPr>
        <w:t>Confirmation of trade required</w:t>
      </w:r>
    </w:p>
    <w:p>
      <w:pPr>
        <w:spacing w:after="0" w:line="229" w:lineRule="exact"/>
        <w:rPr>
          <w:sz w:val="20"/>
          <w:szCs w:val="20"/>
          <w:color w:val="auto"/>
        </w:rPr>
      </w:pPr>
    </w:p>
    <w:p>
      <w:pPr>
        <w:ind w:left="780" w:right="40"/>
        <w:spacing w:after="0" w:line="266" w:lineRule="auto"/>
        <w:rPr>
          <w:sz w:val="20"/>
          <w:szCs w:val="20"/>
          <w:color w:val="auto"/>
        </w:rPr>
      </w:pPr>
      <w:r>
        <w:rPr>
          <w:rFonts w:ascii="Times New Roman" w:cs="Times New Roman" w:eastAsia="Times New Roman" w:hAnsi="Times New Roman"/>
          <w:sz w:val="18"/>
          <w:szCs w:val="18"/>
          <w:color w:val="auto"/>
        </w:rPr>
        <w:t>Each Restricted Person must notify the Group Company Secretary of Telix as soon as practicable after any dealing in Telix Securities (including by their Connected Persons). This is to assist Telix to comply with its disclosure obligations under the Corporations Act, the U.S Securities Exchange Act, the Listing Rules, the U.S. federal securities laws and related compliance policies.</w:t>
      </w: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7" w:name="page388"/>
    <w:bookmarkEnd w:id="387"/>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7"/>
          <w:szCs w:val="17"/>
          <w:b w:val="1"/>
          <w:bCs w:val="1"/>
          <w:color w:val="auto"/>
        </w:rPr>
        <w:t>Trading Window exemptions</w:t>
      </w:r>
    </w:p>
    <w:p>
      <w:pPr>
        <w:spacing w:after="0" w:line="229" w:lineRule="exact"/>
        <w:rPr>
          <w:sz w:val="20"/>
          <w:szCs w:val="20"/>
          <w:color w:val="auto"/>
        </w:rPr>
      </w:pPr>
    </w:p>
    <w:p>
      <w:pPr>
        <w:ind w:left="780" w:right="460"/>
        <w:spacing w:after="0" w:line="282" w:lineRule="auto"/>
        <w:rPr>
          <w:sz w:val="20"/>
          <w:szCs w:val="20"/>
          <w:color w:val="auto"/>
        </w:rPr>
      </w:pPr>
      <w:r>
        <w:rPr>
          <w:rFonts w:ascii="Times New Roman" w:cs="Times New Roman" w:eastAsia="Times New Roman" w:hAnsi="Times New Roman"/>
          <w:sz w:val="18"/>
          <w:szCs w:val="18"/>
          <w:color w:val="auto"/>
        </w:rPr>
        <w:t>Restricted Persons and their Connected Persons may apply for a Trading Window exemption to deal in Telix Securities outside a Trading Window in exceptional circumstances. The procedure set out in section 5.2 should be followed.</w:t>
      </w:r>
    </w:p>
    <w:p>
      <w:pPr>
        <w:spacing w:after="0" w:line="158" w:lineRule="exact"/>
        <w:rPr>
          <w:sz w:val="20"/>
          <w:szCs w:val="20"/>
          <w:color w:val="auto"/>
        </w:rPr>
      </w:pPr>
    </w:p>
    <w:p>
      <w:pPr>
        <w:ind w:left="680" w:hanging="672"/>
        <w:spacing w:after="0"/>
        <w:tabs>
          <w:tab w:leader="none" w:pos="680" w:val="left"/>
        </w:tabs>
        <w:numPr>
          <w:ilvl w:val="0"/>
          <w:numId w:val="3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b w:val="1"/>
          <w:bCs w:val="1"/>
          <w:color w:val="auto"/>
        </w:rPr>
        <w:t>Consequences for breaches of this Policy</w:t>
      </w:r>
    </w:p>
    <w:p>
      <w:pPr>
        <w:spacing w:after="0" w:line="229" w:lineRule="exact"/>
        <w:rPr>
          <w:sz w:val="20"/>
          <w:szCs w:val="20"/>
          <w:color w:val="auto"/>
        </w:rPr>
      </w:pPr>
    </w:p>
    <w:p>
      <w:pPr>
        <w:ind w:left="780"/>
        <w:spacing w:after="0" w:line="282" w:lineRule="auto"/>
        <w:rPr>
          <w:sz w:val="20"/>
          <w:szCs w:val="20"/>
          <w:color w:val="auto"/>
        </w:rPr>
      </w:pPr>
      <w:r>
        <w:rPr>
          <w:rFonts w:ascii="Times New Roman" w:cs="Times New Roman" w:eastAsia="Times New Roman" w:hAnsi="Times New Roman"/>
          <w:sz w:val="18"/>
          <w:szCs w:val="18"/>
          <w:color w:val="auto"/>
        </w:rPr>
        <w:t>It is each Employee or Partner’s responsibility (not Telix’s) to ensure that they and, where applicable, their Connected Persons do not do any of the things prohibited by insider trading laws.</w:t>
      </w:r>
    </w:p>
    <w:p>
      <w:pPr>
        <w:spacing w:after="0" w:line="162" w:lineRule="exact"/>
        <w:rPr>
          <w:sz w:val="20"/>
          <w:szCs w:val="20"/>
          <w:color w:val="auto"/>
        </w:rPr>
      </w:pPr>
    </w:p>
    <w:p>
      <w:pPr>
        <w:ind w:left="780" w:right="240"/>
        <w:spacing w:after="0" w:line="289" w:lineRule="auto"/>
        <w:rPr>
          <w:sz w:val="20"/>
          <w:szCs w:val="20"/>
          <w:color w:val="auto"/>
        </w:rPr>
      </w:pPr>
      <w:r>
        <w:rPr>
          <w:rFonts w:ascii="Times New Roman" w:cs="Times New Roman" w:eastAsia="Times New Roman" w:hAnsi="Times New Roman"/>
          <w:sz w:val="17"/>
          <w:szCs w:val="17"/>
          <w:color w:val="auto"/>
        </w:rPr>
        <w:t>The consequences for breach of these laws can include both civil and criminal penalties, including imprisonment. This prohibition against insider trading applies to all Employees and Partners at all times, including outside of Blackout Periods and other ad-hoc restriction periods, and overrides all other provisions of this Policy, including any consent or approval to trade which may be granted under this Policy.</w:t>
      </w:r>
    </w:p>
    <w:p>
      <w:pPr>
        <w:spacing w:after="0" w:line="158" w:lineRule="exact"/>
        <w:rPr>
          <w:sz w:val="20"/>
          <w:szCs w:val="20"/>
          <w:color w:val="auto"/>
        </w:rPr>
      </w:pPr>
    </w:p>
    <w:p>
      <w:pPr>
        <w:ind w:left="780" w:right="80"/>
        <w:spacing w:after="0" w:line="266" w:lineRule="auto"/>
        <w:rPr>
          <w:sz w:val="20"/>
          <w:szCs w:val="20"/>
          <w:color w:val="auto"/>
        </w:rPr>
      </w:pPr>
      <w:r>
        <w:rPr>
          <w:rFonts w:ascii="Times New Roman" w:cs="Times New Roman" w:eastAsia="Times New Roman" w:hAnsi="Times New Roman"/>
          <w:sz w:val="18"/>
          <w:szCs w:val="18"/>
          <w:color w:val="auto"/>
        </w:rPr>
        <w:t>It is important to note that international securities regulators, for example the US Securities Exchange Commission (SEC) and the European Securities and Markets Authority (ESMA) have authority in their own jurisdictions to commence investigations and/or proceedings relating to insider trading by residents living in their jurisdiction.</w:t>
      </w:r>
    </w:p>
    <w:p>
      <w:pPr>
        <w:spacing w:after="0" w:line="176" w:lineRule="exact"/>
        <w:rPr>
          <w:sz w:val="20"/>
          <w:szCs w:val="20"/>
          <w:color w:val="auto"/>
        </w:rPr>
      </w:pPr>
    </w:p>
    <w:p>
      <w:pPr>
        <w:ind w:left="780" w:right="20"/>
        <w:spacing w:after="0" w:line="261" w:lineRule="auto"/>
        <w:rPr>
          <w:sz w:val="20"/>
          <w:szCs w:val="20"/>
          <w:color w:val="auto"/>
        </w:rPr>
      </w:pPr>
      <w:r>
        <w:rPr>
          <w:rFonts w:ascii="Times New Roman" w:cs="Times New Roman" w:eastAsia="Times New Roman" w:hAnsi="Times New Roman"/>
          <w:sz w:val="18"/>
          <w:szCs w:val="18"/>
          <w:color w:val="auto"/>
        </w:rPr>
        <w:t>Breaches of this Policy will be regarded by Telix as serious misconduct. In addition to the consequences applicable under law, Employees or Partners who fail to adhere to the requirements of this policy may face disciplinary action, including suspension or termination of employment, forfeiture of securities issued under any equity incentive plan of the Group, and/or exclusion from participating in any equity incentive plan of the Group.</w:t>
      </w:r>
    </w:p>
    <w:p>
      <w:pPr>
        <w:spacing w:after="0" w:line="176" w:lineRule="exact"/>
        <w:rPr>
          <w:sz w:val="20"/>
          <w:szCs w:val="20"/>
          <w:color w:val="auto"/>
        </w:rPr>
      </w:pPr>
    </w:p>
    <w:p>
      <w:pPr>
        <w:ind w:left="680" w:hanging="672"/>
        <w:spacing w:after="0"/>
        <w:tabs>
          <w:tab w:leader="none" w:pos="680" w:val="left"/>
        </w:tabs>
        <w:numPr>
          <w:ilvl w:val="0"/>
          <w:numId w:val="3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 of 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780" w:right="120"/>
        <w:spacing w:after="0" w:line="258" w:lineRule="auto"/>
        <w:rPr>
          <w:sz w:val="20"/>
          <w:szCs w:val="20"/>
          <w:color w:val="auto"/>
        </w:rPr>
      </w:pPr>
      <w:r>
        <w:rPr>
          <w:rFonts w:ascii="Times New Roman" w:cs="Times New Roman" w:eastAsia="Times New Roman" w:hAnsi="Times New Roman"/>
          <w:sz w:val="18"/>
          <w:szCs w:val="18"/>
          <w:color w:val="auto"/>
        </w:rPr>
        <w:t>In addition to the obligation at law not to communicate Inside Information to another person, Employees or Partners have a duty of confidentiality to the Telix Group in relation to any confidential information of which they become aware in the performance of their duties. Where it is necessary to provide confidential information regarding the Telix Group or its business generally to a third party, then it is important to ensure that the third party is bound by a confidentiality agreement (or other such confidentiality obligations) with respect to their use of that information.</w:t>
      </w:r>
    </w:p>
    <w:p>
      <w:pPr>
        <w:spacing w:after="0" w:line="179" w:lineRule="exact"/>
        <w:rPr>
          <w:sz w:val="20"/>
          <w:szCs w:val="20"/>
          <w:color w:val="auto"/>
        </w:rPr>
      </w:pPr>
    </w:p>
    <w:p>
      <w:pPr>
        <w:ind w:left="680" w:hanging="672"/>
        <w:spacing w:after="0"/>
        <w:tabs>
          <w:tab w:leader="none" w:pos="680" w:val="left"/>
        </w:tabs>
        <w:numPr>
          <w:ilvl w:val="0"/>
          <w:numId w:val="3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Awareness and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780" w:right="140"/>
        <w:spacing w:after="0" w:line="261" w:lineRule="auto"/>
        <w:rPr>
          <w:sz w:val="20"/>
          <w:szCs w:val="20"/>
          <w:color w:val="auto"/>
        </w:rPr>
      </w:pPr>
      <w:r>
        <w:rPr>
          <w:rFonts w:ascii="Times New Roman" w:cs="Times New Roman" w:eastAsia="Times New Roman" w:hAnsi="Times New Roman"/>
          <w:sz w:val="18"/>
          <w:szCs w:val="18"/>
          <w:color w:val="auto"/>
        </w:rPr>
        <w:t>The highest standards of corporate conduct are critical to the reputation of Telix. The Group Company Secretary is responsible to ensure appropriate training and processes are in place across the Group to promote awareness and compliance with this Policy. A copy of this Policy will be available on Telix’s website. It will be distributed to all Telix Employees as part of employment induction and at regular intervals thereafter.</w:t>
      </w:r>
    </w:p>
    <w:p>
      <w:pPr>
        <w:spacing w:after="0" w:line="17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Who should I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780" w:right="180"/>
        <w:spacing w:after="0" w:line="282" w:lineRule="auto"/>
        <w:rPr>
          <w:sz w:val="20"/>
          <w:szCs w:val="20"/>
          <w:color w:val="auto"/>
        </w:rPr>
      </w:pPr>
      <w:r>
        <w:rPr>
          <w:rFonts w:ascii="Times New Roman" w:cs="Times New Roman" w:eastAsia="Times New Roman" w:hAnsi="Times New Roman"/>
          <w:sz w:val="18"/>
          <w:szCs w:val="18"/>
          <w:color w:val="auto"/>
        </w:rPr>
        <w:t>Any person who becomes aware of an actual or potential breach of this Policy should immediately report it to the Group Company Secretary or the Group General Counsel.</w:t>
      </w:r>
    </w:p>
    <w:p>
      <w:pPr>
        <w:spacing w:after="0" w:line="162" w:lineRule="exact"/>
        <w:rPr>
          <w:sz w:val="20"/>
          <w:szCs w:val="20"/>
          <w:color w:val="auto"/>
        </w:rPr>
      </w:pPr>
    </w:p>
    <w:p>
      <w:pPr>
        <w:ind w:left="780" w:right="280"/>
        <w:spacing w:after="0" w:line="282" w:lineRule="auto"/>
        <w:rPr>
          <w:sz w:val="20"/>
          <w:szCs w:val="20"/>
          <w:color w:val="auto"/>
        </w:rPr>
      </w:pPr>
      <w:r>
        <w:rPr>
          <w:rFonts w:ascii="Times New Roman" w:cs="Times New Roman" w:eastAsia="Times New Roman" w:hAnsi="Times New Roman"/>
          <w:sz w:val="18"/>
          <w:szCs w:val="18"/>
          <w:color w:val="auto"/>
        </w:rPr>
        <w:t>Employees should also contact the Group Company Secretary if they are unsure about whether it is acceptable to deal or communicate with others in relation to Telix Securities or other securities or if they have any other queries about this Policy.</w:t>
      </w:r>
    </w:p>
    <w:p>
      <w:pPr>
        <w:spacing w:after="0" w:line="16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Telix encourages its Employees and Partners to seek their own professional advice before dealing in Telix Securities.</w:t>
      </w:r>
    </w:p>
    <w:p>
      <w:pPr>
        <w:spacing w:after="0" w:line="3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388" w:name="page389"/>
    <w:bookmarkEnd w:id="388"/>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Board will review and update this Policy as required but at a minimum on an annual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12</w:t>
            </w:r>
          </w:p>
        </w:tc>
        <w:tc>
          <w:tcPr>
            <w:tcW w:w="30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Recent Change Summary</w:t>
            </w:r>
          </w:p>
        </w:tc>
        <w:tc>
          <w:tcPr>
            <w:tcW w:w="314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r>
      <w:tr>
        <w:trPr>
          <w:trHeight w:val="223"/>
        </w:trPr>
        <w:tc>
          <w:tcPr>
            <w:tcW w:w="360" w:type="dxa"/>
            <w:vAlign w:val="bottom"/>
          </w:tcPr>
          <w:p>
            <w:pPr>
              <w:spacing w:after="0"/>
              <w:rPr>
                <w:sz w:val="19"/>
                <w:szCs w:val="19"/>
                <w:color w:val="auto"/>
              </w:rPr>
            </w:pPr>
          </w:p>
        </w:tc>
        <w:tc>
          <w:tcPr>
            <w:tcW w:w="2600" w:type="dxa"/>
            <w:vAlign w:val="bottom"/>
            <w:tcBorders>
              <w:bottom w:val="single" w:sz="8" w:color="auto"/>
            </w:tcBorders>
            <w:gridSpan w:val="2"/>
          </w:tcPr>
          <w:p>
            <w:pPr>
              <w:spacing w:after="0"/>
              <w:rPr>
                <w:sz w:val="19"/>
                <w:szCs w:val="19"/>
                <w:color w:val="auto"/>
              </w:rPr>
            </w:pPr>
          </w:p>
        </w:tc>
        <w:tc>
          <w:tcPr>
            <w:tcW w:w="31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r>
      <w:tr>
        <w:trPr>
          <w:trHeight w:val="194"/>
        </w:trPr>
        <w:tc>
          <w:tcPr>
            <w:tcW w:w="36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gridSpan w:val="2"/>
            <w:shd w:val="clear" w:color="auto" w:fill="D9D9D9"/>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Effective</w:t>
            </w:r>
          </w:p>
        </w:tc>
        <w:tc>
          <w:tcPr>
            <w:tcW w:w="3140" w:type="dxa"/>
            <w:vAlign w:val="bottom"/>
            <w:tcBorders>
              <w:right w:val="single" w:sz="8" w:color="auto"/>
            </w:tcBorders>
            <w:shd w:val="clear" w:color="auto" w:fill="D9D9D9"/>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Summary of Change</w:t>
            </w:r>
          </w:p>
        </w:tc>
        <w:tc>
          <w:tcPr>
            <w:tcW w:w="2580" w:type="dxa"/>
            <w:vAlign w:val="bottom"/>
            <w:tcBorders>
              <w:right w:val="single" w:sz="8" w:color="auto"/>
            </w:tcBorders>
            <w:shd w:val="clear" w:color="auto" w:fill="D9D9D9"/>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Author</w:t>
            </w:r>
          </w:p>
        </w:tc>
        <w:tc>
          <w:tcPr>
            <w:tcW w:w="2560" w:type="dxa"/>
            <w:vAlign w:val="bottom"/>
            <w:tcBorders>
              <w:right w:val="single" w:sz="8" w:color="auto"/>
            </w:tcBorders>
            <w:shd w:val="clear" w:color="auto" w:fill="D9D9D9"/>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Approval</w:t>
            </w:r>
          </w:p>
        </w:tc>
      </w:tr>
      <w:tr>
        <w:trPr>
          <w:trHeight w:val="245"/>
        </w:trPr>
        <w:tc>
          <w:tcPr>
            <w:tcW w:w="360" w:type="dxa"/>
            <w:vAlign w:val="bottom"/>
            <w:tcBorders>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gridSpan w:val="2"/>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3140" w:type="dxa"/>
            <w:vAlign w:val="bottom"/>
            <w:tcBorders>
              <w:bottom w:val="single" w:sz="8" w:color="auto"/>
              <w:right w:val="single" w:sz="8" w:color="auto"/>
            </w:tcBorders>
            <w:shd w:val="clear" w:color="auto" w:fill="D9D9D9"/>
          </w:tcPr>
          <w:p>
            <w:pPr>
              <w:spacing w:after="0"/>
              <w:rPr>
                <w:sz w:val="21"/>
                <w:szCs w:val="21"/>
                <w:color w:val="auto"/>
              </w:rPr>
            </w:pPr>
          </w:p>
        </w:tc>
        <w:tc>
          <w:tcPr>
            <w:tcW w:w="2580" w:type="dxa"/>
            <w:vAlign w:val="bottom"/>
            <w:tcBorders>
              <w:bottom w:val="single" w:sz="8" w:color="auto"/>
              <w:right w:val="single" w:sz="8" w:color="auto"/>
            </w:tcBorders>
            <w:shd w:val="clear" w:color="auto" w:fill="D9D9D9"/>
          </w:tcPr>
          <w:p>
            <w:pPr>
              <w:spacing w:after="0"/>
              <w:rPr>
                <w:sz w:val="21"/>
                <w:szCs w:val="21"/>
                <w:color w:val="auto"/>
              </w:rPr>
            </w:pPr>
          </w:p>
        </w:tc>
        <w:tc>
          <w:tcPr>
            <w:tcW w:w="2560" w:type="dxa"/>
            <w:vAlign w:val="bottom"/>
            <w:tcBorders>
              <w:bottom w:val="single" w:sz="8" w:color="auto"/>
              <w:right w:val="single" w:sz="8" w:color="auto"/>
            </w:tcBorders>
            <w:shd w:val="clear" w:color="auto" w:fill="D9D9D9"/>
          </w:tcPr>
          <w:p>
            <w:pPr>
              <w:spacing w:after="0"/>
              <w:rPr>
                <w:sz w:val="21"/>
                <w:szCs w:val="21"/>
                <w:color w:val="auto"/>
              </w:rPr>
            </w:pPr>
          </w:p>
        </w:tc>
      </w:tr>
      <w:tr>
        <w:trPr>
          <w:trHeight w:val="198"/>
        </w:trPr>
        <w:tc>
          <w:tcPr>
            <w:tcW w:w="360" w:type="dxa"/>
            <w:vAlign w:val="bottom"/>
            <w:tcBorders>
              <w:right w:val="single" w:sz="8" w:color="auto"/>
            </w:tcBorders>
          </w:tcPr>
          <w:p>
            <w:pPr>
              <w:spacing w:after="0"/>
              <w:rPr>
                <w:sz w:val="17"/>
                <w:szCs w:val="17"/>
                <w:color w:val="auto"/>
              </w:rPr>
            </w:pPr>
          </w:p>
        </w:tc>
        <w:tc>
          <w:tcPr>
            <w:tcW w:w="3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w w:val="99"/>
              </w:rPr>
              <w:t>31</w:t>
            </w:r>
          </w:p>
        </w:tc>
        <w:tc>
          <w:tcPr>
            <w:tcW w:w="2300" w:type="dxa"/>
            <w:vAlign w:val="bottom"/>
            <w:tcBorders>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August</w:t>
            </w:r>
          </w:p>
        </w:tc>
        <w:tc>
          <w:tcPr>
            <w:tcW w:w="31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New Policy</w:t>
            </w:r>
          </w:p>
        </w:tc>
        <w:tc>
          <w:tcPr>
            <w:tcW w:w="25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Company Secretary</w:t>
            </w:r>
          </w:p>
        </w:tc>
        <w:tc>
          <w:tcPr>
            <w:tcW w:w="256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Approved by the Board</w:t>
            </w:r>
          </w:p>
        </w:tc>
      </w:tr>
      <w:tr>
        <w:trPr>
          <w:trHeight w:val="241"/>
        </w:trPr>
        <w:tc>
          <w:tcPr>
            <w:tcW w:w="360" w:type="dxa"/>
            <w:vAlign w:val="bottom"/>
            <w:tcBorders>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2017</w:t>
            </w:r>
          </w:p>
        </w:tc>
        <w:tc>
          <w:tcPr>
            <w:tcW w:w="314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r>
      <w:tr>
        <w:trPr>
          <w:trHeight w:val="198"/>
        </w:trPr>
        <w:tc>
          <w:tcPr>
            <w:tcW w:w="3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11 April 2022</w:t>
            </w:r>
          </w:p>
        </w:tc>
        <w:tc>
          <w:tcPr>
            <w:tcW w:w="31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Updated for changes in law and business</w:t>
            </w:r>
          </w:p>
        </w:tc>
        <w:tc>
          <w:tcPr>
            <w:tcW w:w="25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Company Secretary</w:t>
            </w:r>
          </w:p>
        </w:tc>
        <w:tc>
          <w:tcPr>
            <w:tcW w:w="256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Approved by the Board</w:t>
            </w:r>
          </w:p>
        </w:tc>
      </w:tr>
      <w:tr>
        <w:trPr>
          <w:trHeight w:val="241"/>
        </w:trPr>
        <w:tc>
          <w:tcPr>
            <w:tcW w:w="360" w:type="dxa"/>
            <w:vAlign w:val="bottom"/>
            <w:tcBorders>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since last update</w:t>
            </w:r>
          </w:p>
        </w:tc>
        <w:tc>
          <w:tcPr>
            <w:tcW w:w="258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r>
      <w:tr>
        <w:trPr>
          <w:trHeight w:val="198"/>
        </w:trPr>
        <w:tc>
          <w:tcPr>
            <w:tcW w:w="360" w:type="dxa"/>
            <w:vAlign w:val="bottom"/>
            <w:tcBorders>
              <w:right w:val="single" w:sz="8" w:color="auto"/>
            </w:tcBorders>
          </w:tcPr>
          <w:p>
            <w:pPr>
              <w:spacing w:after="0"/>
              <w:rPr>
                <w:sz w:val="17"/>
                <w:szCs w:val="17"/>
                <w:color w:val="auto"/>
              </w:rPr>
            </w:pPr>
          </w:p>
        </w:tc>
        <w:tc>
          <w:tcPr>
            <w:tcW w:w="3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w w:val="99"/>
              </w:rPr>
              <w:t>29</w:t>
            </w:r>
          </w:p>
        </w:tc>
        <w:tc>
          <w:tcPr>
            <w:tcW w:w="2300" w:type="dxa"/>
            <w:vAlign w:val="bottom"/>
            <w:tcBorders>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May 2023</w:t>
            </w:r>
          </w:p>
        </w:tc>
        <w:tc>
          <w:tcPr>
            <w:tcW w:w="31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Updated to clarify extension of</w:t>
            </w:r>
          </w:p>
        </w:tc>
        <w:tc>
          <w:tcPr>
            <w:tcW w:w="25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Group Company Secretary</w:t>
            </w:r>
          </w:p>
        </w:tc>
        <w:tc>
          <w:tcPr>
            <w:tcW w:w="256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Approved by the Board</w:t>
            </w:r>
          </w:p>
        </w:tc>
      </w:tr>
      <w:tr>
        <w:trPr>
          <w:trHeight w:val="216"/>
        </w:trPr>
        <w:tc>
          <w:tcPr>
            <w:tcW w:w="3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application of policy to Connected</w:t>
            </w:r>
          </w:p>
        </w:tc>
        <w:tc>
          <w:tcPr>
            <w:tcW w:w="258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r>
      <w:tr>
        <w:trPr>
          <w:trHeight w:val="216"/>
        </w:trPr>
        <w:tc>
          <w:tcPr>
            <w:tcW w:w="3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Persons and changes in business since</w:t>
            </w:r>
          </w:p>
        </w:tc>
        <w:tc>
          <w:tcPr>
            <w:tcW w:w="258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r>
      <w:tr>
        <w:trPr>
          <w:trHeight w:val="241"/>
        </w:trPr>
        <w:tc>
          <w:tcPr>
            <w:tcW w:w="360" w:type="dxa"/>
            <w:vAlign w:val="bottom"/>
            <w:tcBorders>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last update</w:t>
            </w:r>
          </w:p>
        </w:tc>
        <w:tc>
          <w:tcPr>
            <w:tcW w:w="258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r>
      <w:tr>
        <w:trPr>
          <w:trHeight w:val="198"/>
        </w:trPr>
        <w:tc>
          <w:tcPr>
            <w:tcW w:w="360" w:type="dxa"/>
            <w:vAlign w:val="bottom"/>
            <w:tcBorders>
              <w:right w:val="single" w:sz="8" w:color="auto"/>
            </w:tcBorders>
          </w:tcPr>
          <w:p>
            <w:pPr>
              <w:spacing w:after="0"/>
              <w:rPr>
                <w:sz w:val="17"/>
                <w:szCs w:val="17"/>
                <w:color w:val="auto"/>
              </w:rPr>
            </w:pPr>
          </w:p>
        </w:tc>
        <w:tc>
          <w:tcPr>
            <w:tcW w:w="3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w w:val="99"/>
              </w:rPr>
              <w:t>22</w:t>
            </w:r>
          </w:p>
        </w:tc>
        <w:tc>
          <w:tcPr>
            <w:tcW w:w="2300" w:type="dxa"/>
            <w:vAlign w:val="bottom"/>
            <w:tcBorders>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August</w:t>
            </w:r>
          </w:p>
        </w:tc>
        <w:tc>
          <w:tcPr>
            <w:tcW w:w="31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Updated to current blackout periods</w:t>
            </w:r>
          </w:p>
        </w:tc>
        <w:tc>
          <w:tcPr>
            <w:tcW w:w="25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Group Company Secretary</w:t>
            </w:r>
          </w:p>
        </w:tc>
        <w:tc>
          <w:tcPr>
            <w:tcW w:w="256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Approved by the Board</w:t>
            </w:r>
          </w:p>
        </w:tc>
      </w:tr>
      <w:tr>
        <w:trPr>
          <w:trHeight w:val="216"/>
        </w:trPr>
        <w:tc>
          <w:tcPr>
            <w:tcW w:w="36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3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following ASX relief from quarterly</w:t>
            </w:r>
          </w:p>
        </w:tc>
        <w:tc>
          <w:tcPr>
            <w:tcW w:w="258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r>
      <w:tr>
        <w:trPr>
          <w:trHeight w:val="216"/>
        </w:trPr>
        <w:tc>
          <w:tcPr>
            <w:tcW w:w="3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reporting in accordance with Listing</w:t>
            </w:r>
          </w:p>
        </w:tc>
        <w:tc>
          <w:tcPr>
            <w:tcW w:w="258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r>
      <w:tr>
        <w:trPr>
          <w:trHeight w:val="216"/>
        </w:trPr>
        <w:tc>
          <w:tcPr>
            <w:tcW w:w="3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Rules</w:t>
            </w:r>
          </w:p>
        </w:tc>
        <w:tc>
          <w:tcPr>
            <w:tcW w:w="258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r>
      <w:tr>
        <w:trPr>
          <w:trHeight w:val="241"/>
        </w:trPr>
        <w:tc>
          <w:tcPr>
            <w:tcW w:w="360" w:type="dxa"/>
            <w:vAlign w:val="bottom"/>
            <w:tcBorders>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4.7B and 4.7C</w:t>
            </w:r>
          </w:p>
        </w:tc>
        <w:tc>
          <w:tcPr>
            <w:tcW w:w="258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r>
      <w:tr>
        <w:trPr>
          <w:trHeight w:val="198"/>
        </w:trPr>
        <w:tc>
          <w:tcPr>
            <w:tcW w:w="360" w:type="dxa"/>
            <w:vAlign w:val="bottom"/>
            <w:tcBorders>
              <w:right w:val="single" w:sz="8" w:color="auto"/>
            </w:tcBorders>
          </w:tcPr>
          <w:p>
            <w:pPr>
              <w:spacing w:after="0"/>
              <w:rPr>
                <w:sz w:val="17"/>
                <w:szCs w:val="17"/>
                <w:color w:val="auto"/>
              </w:rPr>
            </w:pPr>
          </w:p>
        </w:tc>
        <w:tc>
          <w:tcPr>
            <w:tcW w:w="3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w w:val="99"/>
              </w:rPr>
              <w:t>13</w:t>
            </w:r>
          </w:p>
        </w:tc>
        <w:tc>
          <w:tcPr>
            <w:tcW w:w="2300" w:type="dxa"/>
            <w:vAlign w:val="bottom"/>
            <w:tcBorders>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November</w:t>
            </w:r>
          </w:p>
        </w:tc>
        <w:tc>
          <w:tcPr>
            <w:tcW w:w="31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Updated to incorporate Nasdaq and SEC</w:t>
            </w:r>
          </w:p>
        </w:tc>
        <w:tc>
          <w:tcPr>
            <w:tcW w:w="25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Group Company Secretary</w:t>
            </w:r>
          </w:p>
        </w:tc>
        <w:tc>
          <w:tcPr>
            <w:tcW w:w="256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Approved by the Board</w:t>
            </w:r>
          </w:p>
        </w:tc>
      </w:tr>
      <w:tr>
        <w:trPr>
          <w:trHeight w:val="216"/>
        </w:trPr>
        <w:tc>
          <w:tcPr>
            <w:tcW w:w="36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3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requirements following Telix’s listing on</w:t>
            </w:r>
          </w:p>
        </w:tc>
        <w:tc>
          <w:tcPr>
            <w:tcW w:w="258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r>
      <w:tr>
        <w:trPr>
          <w:trHeight w:val="241"/>
        </w:trPr>
        <w:tc>
          <w:tcPr>
            <w:tcW w:w="360" w:type="dxa"/>
            <w:vAlign w:val="bottom"/>
            <w:tcBorders>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Nasdaq</w:t>
            </w:r>
          </w:p>
        </w:tc>
        <w:tc>
          <w:tcPr>
            <w:tcW w:w="258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r>
      <w:tr>
        <w:trPr>
          <w:trHeight w:val="198"/>
        </w:trPr>
        <w:tc>
          <w:tcPr>
            <w:tcW w:w="360" w:type="dxa"/>
            <w:vAlign w:val="bottom"/>
            <w:tcBorders>
              <w:right w:val="single" w:sz="8" w:color="auto"/>
            </w:tcBorders>
          </w:tcPr>
          <w:p>
            <w:pPr>
              <w:spacing w:after="0"/>
              <w:rPr>
                <w:sz w:val="17"/>
                <w:szCs w:val="17"/>
                <w:color w:val="auto"/>
              </w:rPr>
            </w:pPr>
          </w:p>
        </w:tc>
        <w:tc>
          <w:tcPr>
            <w:tcW w:w="3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w w:val="99"/>
              </w:rPr>
              <w:t>12</w:t>
            </w:r>
          </w:p>
        </w:tc>
        <w:tc>
          <w:tcPr>
            <w:tcW w:w="2300" w:type="dxa"/>
            <w:vAlign w:val="bottom"/>
            <w:tcBorders>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December</w:t>
            </w:r>
          </w:p>
        </w:tc>
        <w:tc>
          <w:tcPr>
            <w:tcW w:w="31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Updated to include required references to</w:t>
            </w:r>
          </w:p>
        </w:tc>
        <w:tc>
          <w:tcPr>
            <w:tcW w:w="25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Group Company Secretary</w:t>
            </w:r>
          </w:p>
        </w:tc>
        <w:tc>
          <w:tcPr>
            <w:tcW w:w="256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Approved by the Board</w:t>
            </w:r>
          </w:p>
        </w:tc>
      </w:tr>
      <w:tr>
        <w:trPr>
          <w:trHeight w:val="216"/>
        </w:trPr>
        <w:tc>
          <w:tcPr>
            <w:tcW w:w="36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3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requirements of the employee share</w:t>
            </w:r>
          </w:p>
        </w:tc>
        <w:tc>
          <w:tcPr>
            <w:tcW w:w="258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r>
      <w:tr>
        <w:trPr>
          <w:trHeight w:val="241"/>
        </w:trPr>
        <w:tc>
          <w:tcPr>
            <w:tcW w:w="360" w:type="dxa"/>
            <w:vAlign w:val="bottom"/>
            <w:tcBorders>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 plan</w:t>
            </w:r>
          </w:p>
        </w:tc>
        <w:tc>
          <w:tcPr>
            <w:tcW w:w="258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r>
      <w:tr>
        <w:trPr>
          <w:trHeight w:val="598"/>
        </w:trPr>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14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11</w:t>
            </w:r>
          </w:p>
        </w:tc>
        <w:tc>
          <w:tcPr>
            <w:tcW w:w="25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84"/>
        </w:trPr>
        <w:tc>
          <w:tcPr>
            <w:tcW w:w="3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3140" w:type="dxa"/>
            <w:vAlign w:val="bottom"/>
            <w:tcBorders>
              <w:bottom w:val="single" w:sz="8" w:color="auto"/>
            </w:tcBorders>
          </w:tcPr>
          <w:p>
            <w:pPr>
              <w:spacing w:after="0"/>
              <w:rPr>
                <w:sz w:val="7"/>
                <w:szCs w:val="7"/>
                <w:color w:val="auto"/>
              </w:rPr>
            </w:pPr>
          </w:p>
        </w:tc>
        <w:tc>
          <w:tcPr>
            <w:tcW w:w="2580" w:type="dxa"/>
            <w:vAlign w:val="bottom"/>
            <w:tcBorders>
              <w:bottom w:val="single" w:sz="8" w:color="auto"/>
            </w:tcBorders>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389" w:name="page390"/>
    <w:bookmarkEnd w:id="38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 Behrenbruch, certify that:</w:t>
      </w:r>
    </w:p>
    <w:p>
      <w:pPr>
        <w:spacing w:after="0" w:line="225" w:lineRule="exact"/>
        <w:rPr>
          <w:sz w:val="20"/>
          <w:szCs w:val="20"/>
          <w:color w:val="auto"/>
        </w:rPr>
      </w:pPr>
    </w:p>
    <w:p>
      <w:pPr>
        <w:ind w:left="660" w:hanging="328"/>
        <w:spacing w:after="0"/>
        <w:tabs>
          <w:tab w:leader="none" w:pos="66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Telix Pharmaceuticals Limited;</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8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24, 2025</w:t>
      </w:r>
      <w:r>
        <w:rPr>
          <w:sz w:val="20"/>
          <w:szCs w:val="20"/>
          <w:color w:val="auto"/>
        </w:rPr>
        <w:tab/>
      </w:r>
      <w:r>
        <w:rPr>
          <w:rFonts w:ascii="Times New Roman" w:cs="Times New Roman" w:eastAsia="Times New Roman" w:hAnsi="Times New Roman"/>
          <w:sz w:val="18"/>
          <w:szCs w:val="18"/>
          <w:color w:val="auto"/>
        </w:rPr>
        <w:t>By: /s/ Dr. Christian Behrenbruch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Dr. Christian Behrenbruch</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Group Chief Executive Officer &amp; Managing Director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90" w:name="page391"/>
    <w:bookmarkEnd w:id="39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Darren Smith, certify that:</w:t>
      </w:r>
    </w:p>
    <w:p>
      <w:pPr>
        <w:spacing w:after="0" w:line="225" w:lineRule="exact"/>
        <w:rPr>
          <w:sz w:val="20"/>
          <w:szCs w:val="20"/>
          <w:color w:val="auto"/>
        </w:rPr>
      </w:pPr>
    </w:p>
    <w:p>
      <w:pPr>
        <w:ind w:left="660" w:hanging="328"/>
        <w:spacing w:after="0"/>
        <w:tabs>
          <w:tab w:leader="none" w:pos="6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Telix Pharmaceuticals Limited;</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3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8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24, 2025</w:t>
      </w:r>
      <w:r>
        <w:rPr>
          <w:sz w:val="20"/>
          <w:szCs w:val="20"/>
          <w:color w:val="auto"/>
        </w:rPr>
        <w:tab/>
      </w:r>
      <w:r>
        <w:rPr>
          <w:rFonts w:ascii="Times New Roman" w:cs="Times New Roman" w:eastAsia="Times New Roman" w:hAnsi="Times New Roman"/>
          <w:sz w:val="18"/>
          <w:szCs w:val="18"/>
          <w:color w:val="auto"/>
        </w:rPr>
        <w:t>By: /s/ Darren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Darren Smith</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Group 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&amp;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91" w:name="page392"/>
    <w:bookmarkEnd w:id="39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Telix Pharmaceuticals Limited (the “Company”) on Form 20-F for the year ended December 31, 2024 as filed with the Securities and Exchange Commission (the “Report”), I, Dr. Christian Behrenbruch, Group Chief Executive Officer &amp; Managing Director of the Company, certify pursuant to 18 U.S.C. §1350, as adopted pursuant to Section 906 of the Sarbanes-Oxley Act of 2002, that, based on my knowledge:</w:t>
      </w:r>
    </w:p>
    <w:p>
      <w:pPr>
        <w:spacing w:after="0" w:line="176" w:lineRule="exact"/>
        <w:rPr>
          <w:sz w:val="20"/>
          <w:szCs w:val="20"/>
          <w:color w:val="auto"/>
        </w:rPr>
      </w:pPr>
    </w:p>
    <w:p>
      <w:pPr>
        <w:ind w:left="660" w:hanging="328"/>
        <w:spacing w:after="0"/>
        <w:tabs>
          <w:tab w:leader="none" w:pos="6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24, 2025</w:t>
      </w:r>
      <w:r>
        <w:rPr>
          <w:sz w:val="20"/>
          <w:szCs w:val="20"/>
          <w:color w:val="auto"/>
        </w:rPr>
        <w:tab/>
      </w:r>
      <w:r>
        <w:rPr>
          <w:rFonts w:ascii="Times New Roman" w:cs="Times New Roman" w:eastAsia="Times New Roman" w:hAnsi="Times New Roman"/>
          <w:sz w:val="18"/>
          <w:szCs w:val="18"/>
          <w:color w:val="auto"/>
        </w:rPr>
        <w:t>By: /s/ Dr. Christian Behrenbruch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Dr. Christian Behrenbruch</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Group Chief Executive Officer &amp; Managing Director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92" w:name="page393"/>
    <w:bookmarkEnd w:id="39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Telix Pharmaceuticals Limited (the “Company”) on Form 20-F for the year ended December 31, 2024 as filed with the Securities and Exchange Commission (the “Report”), I, Darren Smith, Group Chief Financial Officer of the Company, certify pursuant to 18 U.S.C. §1350, as adopted pursuant to Section 906 of the Sarbanes-Oxley Act of 2002, that, based on my knowledge:</w:t>
      </w:r>
    </w:p>
    <w:p>
      <w:pPr>
        <w:spacing w:after="0" w:line="176" w:lineRule="exact"/>
        <w:rPr>
          <w:sz w:val="20"/>
          <w:szCs w:val="20"/>
          <w:color w:val="auto"/>
        </w:rPr>
      </w:pPr>
    </w:p>
    <w:p>
      <w:pPr>
        <w:ind w:left="660" w:hanging="328"/>
        <w:spacing w:after="0"/>
        <w:tabs>
          <w:tab w:leader="none" w:pos="66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24, 2025</w:t>
      </w:r>
      <w:r>
        <w:rPr>
          <w:sz w:val="20"/>
          <w:szCs w:val="20"/>
          <w:color w:val="auto"/>
        </w:rPr>
        <w:tab/>
      </w:r>
      <w:r>
        <w:rPr>
          <w:rFonts w:ascii="Times New Roman" w:cs="Times New Roman" w:eastAsia="Times New Roman" w:hAnsi="Times New Roman"/>
          <w:sz w:val="18"/>
          <w:szCs w:val="18"/>
          <w:color w:val="auto"/>
        </w:rPr>
        <w:t>By: /s/ Darren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Darren Smith</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Group 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&amp;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93" w:name="page394"/>
    <w:bookmarkEnd w:id="39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15.1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333-283917) of Telix Pharmaceuticals Limited of our report dated February 24, 2025 relating to the financial statements, which appears in this Form 20-F.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Melbourne, 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15CD1A"/>
    <w:multiLevelType w:val="hybridMultilevel"/>
    <w:lvl w:ilvl="0">
      <w:lvlJc w:val="left"/>
      <w:lvlText w:val="☐"/>
      <w:numFmt w:val="bullet"/>
      <w:start w:val="1"/>
    </w:lvl>
  </w:abstractNum>
  <w:abstractNum w:abstractNumId="1">
    <w:nsid w:val="424479DA"/>
    <w:multiLevelType w:val="hybridMultilevel"/>
    <w:lvl w:ilvl="0">
      <w:lvlJc w:val="left"/>
      <w:lvlText w:val="☒"/>
      <w:numFmt w:val="bullet"/>
      <w:start w:val="1"/>
    </w:lvl>
  </w:abstractNum>
  <w:abstractNum w:abstractNumId="2">
    <w:nsid w:val="1A9A9E69"/>
    <w:multiLevelType w:val="hybridMultilevel"/>
    <w:lvl w:ilvl="0">
      <w:lvlJc w:val="left"/>
      <w:lvlText w:val="☐"/>
      <w:numFmt w:val="bullet"/>
      <w:start w:val="1"/>
    </w:lvl>
  </w:abstractNum>
  <w:abstractNum w:abstractNumId="3">
    <w:nsid w:val="475E256A"/>
    <w:multiLevelType w:val="hybridMultilevel"/>
    <w:lvl w:ilvl="0">
      <w:lvlJc w:val="left"/>
      <w:lvlText w:val="☐"/>
      <w:numFmt w:val="bullet"/>
      <w:start w:val="1"/>
    </w:lvl>
  </w:abstractNum>
  <w:abstractNum w:abstractNumId="4">
    <w:nsid w:val="368DB37E"/>
    <w:multiLevelType w:val="hybridMultilevel"/>
    <w:lvl w:ilvl="0">
      <w:lvlJc w:val="left"/>
      <w:lvlText w:val="*"/>
      <w:numFmt w:val="bullet"/>
      <w:start w:val="1"/>
    </w:lvl>
  </w:abstractNum>
  <w:abstractNum w:abstractNumId="5">
    <w:nsid w:val="6A3B714C"/>
    <w:multiLevelType w:val="hybridMultilevel"/>
    <w:lvl w:ilvl="0">
      <w:lvlJc w:val="left"/>
      <w:lvlText w:val="†"/>
      <w:numFmt w:val="bullet"/>
      <w:start w:val="1"/>
    </w:lvl>
  </w:abstractNum>
  <w:abstractNum w:abstractNumId="6">
    <w:nsid w:val="327B517E"/>
    <w:multiLevelType w:val="hybridMultilevel"/>
    <w:lvl w:ilvl="0">
      <w:lvlJc w:val="left"/>
      <w:lvlText w:val="•"/>
      <w:numFmt w:val="bullet"/>
      <w:start w:val="1"/>
    </w:lvl>
  </w:abstractNum>
  <w:abstractNum w:abstractNumId="7">
    <w:nsid w:val="1F461B51"/>
    <w:multiLevelType w:val="hybridMultilevel"/>
    <w:lvl w:ilvl="0">
      <w:lvlJc w:val="left"/>
      <w:lvlText w:val="%1."/>
      <w:numFmt w:val="upperLetter"/>
      <w:start w:val="1"/>
    </w:lvl>
  </w:abstractNum>
  <w:abstractNum w:abstractNumId="8">
    <w:nsid w:val="29BACF25"/>
    <w:multiLevelType w:val="hybridMultilevel"/>
    <w:lvl w:ilvl="0">
      <w:lvlJc w:val="left"/>
      <w:lvlText w:val="%1."/>
      <w:numFmt w:val="upperLetter"/>
      <w:start w:val="2"/>
    </w:lvl>
  </w:abstractNum>
  <w:abstractNum w:abstractNumId="9">
    <w:nsid w:val="5D5BABB3"/>
    <w:multiLevelType w:val="hybridMultilevel"/>
    <w:lvl w:ilvl="0">
      <w:lvlJc w:val="left"/>
      <w:lvlText w:val="%1."/>
      <w:numFmt w:val="upperLetter"/>
      <w:start w:val="3"/>
    </w:lvl>
  </w:abstractNum>
  <w:abstractNum w:abstractNumId="10">
    <w:nsid w:val="51BF6B48"/>
    <w:multiLevelType w:val="hybridMultilevel"/>
    <w:lvl w:ilvl="0">
      <w:lvlJc w:val="left"/>
      <w:lvlText w:val="%1."/>
      <w:numFmt w:val="upperLetter"/>
      <w:start w:val="1"/>
    </w:lvl>
  </w:abstractNum>
  <w:abstractNum w:abstractNumId="11">
    <w:nsid w:val="7E0F6384"/>
    <w:multiLevelType w:val="hybridMultilevel"/>
    <w:lvl w:ilvl="0">
      <w:lvlJc w:val="left"/>
      <w:lvlText w:val="%1."/>
      <w:numFmt w:val="upperLetter"/>
      <w:start w:val="2"/>
    </w:lvl>
  </w:abstractNum>
  <w:abstractNum w:abstractNumId="12">
    <w:nsid w:val="2B4B8B53"/>
    <w:multiLevelType w:val="hybridMultilevel"/>
    <w:lvl w:ilvl="0">
      <w:lvlJc w:val="left"/>
      <w:lvlText w:val="%1."/>
      <w:numFmt w:val="upperLetter"/>
      <w:start w:val="1"/>
    </w:lvl>
  </w:abstractNum>
  <w:abstractNum w:abstractNumId="13">
    <w:nsid w:val="72E3413A"/>
    <w:multiLevelType w:val="hybridMultilevel"/>
    <w:lvl w:ilvl="0">
      <w:lvlJc w:val="left"/>
      <w:lvlText w:val="%1."/>
      <w:numFmt w:val="upperLetter"/>
      <w:start w:val="3"/>
    </w:lvl>
  </w:abstractNum>
  <w:abstractNum w:abstractNumId="14">
    <w:nsid w:val="116AE494"/>
    <w:multiLevelType w:val="hybridMultilevel"/>
    <w:lvl w:ilvl="0">
      <w:lvlJc w:val="left"/>
      <w:lvlText w:val="%1."/>
      <w:numFmt w:val="upperLetter"/>
      <w:start w:val="4"/>
    </w:lvl>
  </w:abstractNum>
  <w:abstractNum w:abstractNumId="15">
    <w:nsid w:val="3494B2FB"/>
    <w:multiLevelType w:val="hybridMultilevel"/>
    <w:lvl w:ilvl="0">
      <w:lvlJc w:val="left"/>
      <w:lvlText w:val="•"/>
      <w:numFmt w:val="bullet"/>
      <w:start w:val="1"/>
    </w:lvl>
  </w:abstractNum>
  <w:abstractNum w:abstractNumId="16">
    <w:nsid w:val="B13A31"/>
    <w:multiLevelType w:val="hybridMultilevel"/>
    <w:lvl w:ilvl="0">
      <w:lvlJc w:val="left"/>
      <w:lvlText w:val="•"/>
      <w:numFmt w:val="bullet"/>
      <w:start w:val="1"/>
    </w:lvl>
  </w:abstractNum>
  <w:abstractNum w:abstractNumId="17">
    <w:nsid w:val="64429599"/>
    <w:multiLevelType w:val="hybridMultilevel"/>
    <w:lvl w:ilvl="0">
      <w:lvlJc w:val="left"/>
      <w:lvlText w:val="•"/>
      <w:numFmt w:val="bullet"/>
      <w:start w:val="1"/>
    </w:lvl>
  </w:abstractNum>
  <w:abstractNum w:abstractNumId="18">
    <w:nsid w:val="631F1690"/>
    <w:multiLevelType w:val="hybridMultilevel"/>
    <w:lvl w:ilvl="0">
      <w:lvlJc w:val="left"/>
      <w:lvlText w:val="•"/>
      <w:numFmt w:val="bullet"/>
      <w:start w:val="1"/>
    </w:lvl>
  </w:abstractNum>
  <w:abstractNum w:abstractNumId="19">
    <w:nsid w:val="25973E32"/>
    <w:multiLevelType w:val="hybridMultilevel"/>
    <w:lvl w:ilvl="0">
      <w:lvlJc w:val="left"/>
      <w:lvlText w:val="•"/>
      <w:numFmt w:val="bullet"/>
      <w:start w:val="1"/>
    </w:lvl>
  </w:abstractNum>
  <w:abstractNum w:abstractNumId="20">
    <w:nsid w:val="EAD6F57"/>
    <w:multiLevelType w:val="hybridMultilevel"/>
    <w:lvl w:ilvl="0">
      <w:lvlJc w:val="left"/>
      <w:lvlText w:val="•"/>
      <w:numFmt w:val="bullet"/>
      <w:start w:val="1"/>
    </w:lvl>
  </w:abstractNum>
  <w:abstractNum w:abstractNumId="21">
    <w:nsid w:val="6EC9D844"/>
    <w:multiLevelType w:val="hybridMultilevel"/>
    <w:lvl w:ilvl="0">
      <w:lvlJc w:val="left"/>
      <w:lvlText w:val="•"/>
      <w:numFmt w:val="bullet"/>
      <w:start w:val="1"/>
    </w:lvl>
  </w:abstractNum>
  <w:abstractNum w:abstractNumId="22">
    <w:nsid w:val="5C49EAEE"/>
    <w:multiLevelType w:val="hybridMultilevel"/>
    <w:lvl w:ilvl="0">
      <w:lvlJc w:val="left"/>
      <w:lvlText w:val="•"/>
      <w:numFmt w:val="bullet"/>
      <w:start w:val="1"/>
    </w:lvl>
  </w:abstractNum>
  <w:abstractNum w:abstractNumId="23">
    <w:nsid w:val="64AF49B"/>
    <w:multiLevelType w:val="hybridMultilevel"/>
    <w:lvl w:ilvl="0">
      <w:lvlJc w:val="left"/>
      <w:lvlText w:val="•"/>
      <w:numFmt w:val="bullet"/>
      <w:start w:val="1"/>
    </w:lvl>
  </w:abstractNum>
  <w:abstractNum w:abstractNumId="24">
    <w:nsid w:val="397C46BC"/>
    <w:multiLevelType w:val="hybridMultilevel"/>
    <w:lvl w:ilvl="0">
      <w:lvlJc w:val="left"/>
      <w:lvlText w:val="•"/>
      <w:numFmt w:val="bullet"/>
      <w:start w:val="1"/>
    </w:lvl>
  </w:abstractNum>
  <w:abstractNum w:abstractNumId="25">
    <w:nsid w:val="7E448DE9"/>
    <w:multiLevelType w:val="hybridMultilevel"/>
    <w:lvl w:ilvl="0">
      <w:lvlJc w:val="left"/>
      <w:lvlText w:val="•"/>
      <w:numFmt w:val="bullet"/>
      <w:start w:val="1"/>
    </w:lvl>
  </w:abstractNum>
  <w:abstractNum w:abstractNumId="26">
    <w:nsid w:val="5A9CC3E5"/>
    <w:multiLevelType w:val="hybridMultilevel"/>
    <w:lvl w:ilvl="0">
      <w:lvlJc w:val="left"/>
      <w:lvlText w:val="•"/>
      <w:numFmt w:val="bullet"/>
      <w:start w:val="1"/>
    </w:lvl>
  </w:abstractNum>
  <w:abstractNum w:abstractNumId="27">
    <w:nsid w:val="1AFE3625"/>
    <w:multiLevelType w:val="hybridMultilevel"/>
    <w:lvl w:ilvl="0">
      <w:lvlJc w:val="left"/>
      <w:lvlText w:val="•"/>
      <w:numFmt w:val="bullet"/>
      <w:start w:val="1"/>
    </w:lvl>
  </w:abstractNum>
  <w:abstractNum w:abstractNumId="28">
    <w:nsid w:val="3CA88ECF"/>
    <w:multiLevelType w:val="hybridMultilevel"/>
    <w:lvl w:ilvl="0">
      <w:lvlJc w:val="left"/>
      <w:lvlText w:val="•"/>
      <w:numFmt w:val="bullet"/>
      <w:start w:val="1"/>
    </w:lvl>
  </w:abstractNum>
  <w:abstractNum w:abstractNumId="29">
    <w:nsid w:val="6EBE4208"/>
    <w:multiLevelType w:val="hybridMultilevel"/>
    <w:lvl w:ilvl="0">
      <w:lvlJc w:val="left"/>
      <w:lvlText w:val="•"/>
      <w:numFmt w:val="bullet"/>
      <w:start w:val="1"/>
    </w:lvl>
  </w:abstractNum>
  <w:abstractNum w:abstractNumId="30">
    <w:nsid w:val="C058DF5"/>
    <w:multiLevelType w:val="hybridMultilevel"/>
    <w:lvl w:ilvl="0">
      <w:lvlJc w:val="left"/>
      <w:lvlText w:val="•"/>
      <w:numFmt w:val="bullet"/>
      <w:start w:val="1"/>
    </w:lvl>
  </w:abstractNum>
  <w:abstractNum w:abstractNumId="31">
    <w:nsid w:val="CBE5BE9"/>
    <w:multiLevelType w:val="hybridMultilevel"/>
    <w:lvl w:ilvl="0">
      <w:lvlJc w:val="left"/>
      <w:lvlText w:val="•"/>
      <w:numFmt w:val="bullet"/>
      <w:start w:val="1"/>
    </w:lvl>
  </w:abstractNum>
  <w:abstractNum w:abstractNumId="32">
    <w:nsid w:val="3102BBE2"/>
    <w:multiLevelType w:val="hybridMultilevel"/>
    <w:lvl w:ilvl="0">
      <w:lvlJc w:val="left"/>
      <w:lvlText w:val="•"/>
      <w:numFmt w:val="bullet"/>
      <w:start w:val="1"/>
    </w:lvl>
  </w:abstractNum>
  <w:abstractNum w:abstractNumId="33">
    <w:nsid w:val="26A02C5E"/>
    <w:multiLevelType w:val="hybridMultilevel"/>
    <w:lvl w:ilvl="0">
      <w:lvlJc w:val="left"/>
      <w:lvlText w:val="•"/>
      <w:numFmt w:val="bullet"/>
      <w:start w:val="1"/>
    </w:lvl>
  </w:abstractNum>
  <w:abstractNum w:abstractNumId="34">
    <w:nsid w:val="541C8153"/>
    <w:multiLevelType w:val="hybridMultilevel"/>
    <w:lvl w:ilvl="0">
      <w:lvlJc w:val="left"/>
      <w:lvlText w:val="•"/>
      <w:numFmt w:val="bullet"/>
      <w:start w:val="1"/>
    </w:lvl>
  </w:abstractNum>
  <w:abstractNum w:abstractNumId="35">
    <w:nsid w:val="67906F60"/>
    <w:multiLevelType w:val="hybridMultilevel"/>
    <w:lvl w:ilvl="0">
      <w:lvlJc w:val="left"/>
      <w:lvlText w:val="•"/>
      <w:numFmt w:val="bullet"/>
      <w:start w:val="1"/>
    </w:lvl>
  </w:abstractNum>
  <w:abstractNum w:abstractNumId="36">
    <w:nsid w:val="10DB9DAA"/>
    <w:multiLevelType w:val="hybridMultilevel"/>
    <w:lvl w:ilvl="0">
      <w:lvlJc w:val="left"/>
      <w:lvlText w:val="•"/>
      <w:numFmt w:val="bullet"/>
      <w:start w:val="1"/>
    </w:lvl>
  </w:abstractNum>
  <w:abstractNum w:abstractNumId="37">
    <w:nsid w:val="697D2D2"/>
    <w:multiLevelType w:val="hybridMultilevel"/>
    <w:lvl w:ilvl="0">
      <w:lvlJc w:val="left"/>
      <w:lvlText w:val="•"/>
      <w:numFmt w:val="bullet"/>
      <w:start w:val="1"/>
    </w:lvl>
  </w:abstractNum>
  <w:abstractNum w:abstractNumId="38">
    <w:nsid w:val="6D68AB2"/>
    <w:multiLevelType w:val="hybridMultilevel"/>
    <w:lvl w:ilvl="0">
      <w:lvlJc w:val="left"/>
      <w:lvlText w:val="•"/>
      <w:numFmt w:val="bullet"/>
      <w:start w:val="1"/>
    </w:lvl>
  </w:abstractNum>
  <w:abstractNum w:abstractNumId="39">
    <w:nsid w:val="3A966CD0"/>
    <w:multiLevelType w:val="hybridMultilevel"/>
    <w:lvl w:ilvl="0">
      <w:lvlJc w:val="left"/>
      <w:lvlText w:val="•"/>
      <w:numFmt w:val="bullet"/>
      <w:start w:val="1"/>
    </w:lvl>
  </w:abstractNum>
  <w:abstractNum w:abstractNumId="40">
    <w:nsid w:val="63F37E85"/>
    <w:multiLevelType w:val="hybridMultilevel"/>
    <w:lvl w:ilvl="0">
      <w:lvlJc w:val="left"/>
      <w:lvlText w:val="•"/>
      <w:numFmt w:val="bullet"/>
      <w:start w:val="1"/>
    </w:lvl>
  </w:abstractNum>
  <w:abstractNum w:abstractNumId="41">
    <w:nsid w:val="5895F5FA"/>
    <w:multiLevelType w:val="hybridMultilevel"/>
    <w:lvl w:ilvl="0">
      <w:lvlJc w:val="left"/>
      <w:lvlText w:val="•"/>
      <w:numFmt w:val="bullet"/>
      <w:start w:val="1"/>
    </w:lvl>
  </w:abstractNum>
  <w:abstractNum w:abstractNumId="42">
    <w:nsid w:val="38A5D054"/>
    <w:multiLevelType w:val="hybridMultilevel"/>
    <w:lvl w:ilvl="0">
      <w:lvlJc w:val="left"/>
      <w:lvlText w:val="•"/>
      <w:numFmt w:val="bullet"/>
      <w:start w:val="1"/>
    </w:lvl>
  </w:abstractNum>
  <w:abstractNum w:abstractNumId="43">
    <w:nsid w:val="F3F09D8"/>
    <w:multiLevelType w:val="hybridMultilevel"/>
    <w:lvl w:ilvl="0">
      <w:lvlJc w:val="left"/>
      <w:lvlText w:val="•"/>
      <w:numFmt w:val="bullet"/>
      <w:start w:val="1"/>
    </w:lvl>
  </w:abstractNum>
  <w:abstractNum w:abstractNumId="44">
    <w:nsid w:val="4B793735"/>
    <w:multiLevelType w:val="hybridMultilevel"/>
    <w:lvl w:ilvl="0">
      <w:lvlJc w:val="left"/>
      <w:lvlText w:val="•"/>
      <w:numFmt w:val="bullet"/>
      <w:start w:val="1"/>
    </w:lvl>
  </w:abstractNum>
  <w:abstractNum w:abstractNumId="45">
    <w:nsid w:val="4A10B4E8"/>
    <w:multiLevelType w:val="hybridMultilevel"/>
    <w:lvl w:ilvl="0">
      <w:lvlJc w:val="left"/>
      <w:lvlText w:val="•"/>
      <w:numFmt w:val="bullet"/>
      <w:start w:val="1"/>
    </w:lvl>
  </w:abstractNum>
  <w:abstractNum w:abstractNumId="46">
    <w:nsid w:val="43D3BCD4"/>
    <w:multiLevelType w:val="hybridMultilevel"/>
    <w:lvl w:ilvl="0">
      <w:lvlJc w:val="left"/>
      <w:lvlText w:val="•"/>
      <w:numFmt w:val="bullet"/>
      <w:start w:val="1"/>
    </w:lvl>
  </w:abstractNum>
  <w:abstractNum w:abstractNumId="47">
    <w:nsid w:val="4C2A7166"/>
    <w:multiLevelType w:val="hybridMultilevel"/>
    <w:lvl w:ilvl="0">
      <w:lvlJc w:val="left"/>
      <w:lvlText w:val="(%1)"/>
      <w:numFmt w:val="decimal"/>
      <w:start w:val="2"/>
    </w:lvl>
  </w:abstractNum>
  <w:abstractNum w:abstractNumId="48">
    <w:nsid w:val="2E534A82"/>
    <w:multiLevelType w:val="hybridMultilevel"/>
    <w:lvl w:ilvl="0">
      <w:lvlJc w:val="left"/>
      <w:lvlText w:val="•"/>
      <w:numFmt w:val="bullet"/>
      <w:start w:val="1"/>
    </w:lvl>
  </w:abstractNum>
  <w:abstractNum w:abstractNumId="49">
    <w:nsid w:val="26F2D364"/>
    <w:multiLevelType w:val="hybridMultilevel"/>
    <w:lvl w:ilvl="0">
      <w:lvlJc w:val="left"/>
      <w:lvlText w:val="•"/>
      <w:numFmt w:val="bullet"/>
      <w:start w:val="1"/>
    </w:lvl>
  </w:abstractNum>
  <w:abstractNum w:abstractNumId="50">
    <w:nsid w:val="71C1AF98"/>
    <w:multiLevelType w:val="hybridMultilevel"/>
    <w:lvl w:ilvl="0">
      <w:lvlJc w:val="left"/>
      <w:lvlText w:val="•"/>
      <w:numFmt w:val="bullet"/>
      <w:start w:val="1"/>
    </w:lvl>
  </w:abstractNum>
  <w:abstractNum w:abstractNumId="51">
    <w:nsid w:val="3D00B9D9"/>
    <w:multiLevelType w:val="hybridMultilevel"/>
    <w:lvl w:ilvl="0">
      <w:lvlJc w:val="left"/>
      <w:lvlText w:val="•"/>
      <w:numFmt w:val="bullet"/>
      <w:start w:val="1"/>
    </w:lvl>
  </w:abstractNum>
  <w:abstractNum w:abstractNumId="52">
    <w:nsid w:val="15BCABA8"/>
    <w:multiLevelType w:val="hybridMultilevel"/>
    <w:lvl w:ilvl="0">
      <w:lvlJc w:val="left"/>
      <w:lvlText w:val="•"/>
      <w:numFmt w:val="bullet"/>
      <w:start w:val="1"/>
    </w:lvl>
  </w:abstractNum>
  <w:abstractNum w:abstractNumId="53">
    <w:nsid w:val="4E0B9A87"/>
    <w:multiLevelType w:val="hybridMultilevel"/>
    <w:lvl w:ilvl="0">
      <w:lvlJc w:val="left"/>
      <w:lvlText w:val="•"/>
      <w:numFmt w:val="bullet"/>
      <w:start w:val="1"/>
    </w:lvl>
  </w:abstractNum>
  <w:abstractNum w:abstractNumId="54">
    <w:nsid w:val="434BAE75"/>
    <w:multiLevelType w:val="hybridMultilevel"/>
    <w:lvl w:ilvl="0">
      <w:lvlJc w:val="left"/>
      <w:lvlText w:val="•"/>
      <w:numFmt w:val="bullet"/>
      <w:start w:val="1"/>
    </w:lvl>
  </w:abstractNum>
  <w:abstractNum w:abstractNumId="55">
    <w:nsid w:val="4F38F265"/>
    <w:multiLevelType w:val="hybridMultilevel"/>
    <w:lvl w:ilvl="0">
      <w:lvlJc w:val="left"/>
      <w:lvlText w:val="•"/>
      <w:numFmt w:val="bullet"/>
      <w:start w:val="1"/>
    </w:lvl>
  </w:abstractNum>
  <w:abstractNum w:abstractNumId="56">
    <w:nsid w:val="4C502870"/>
    <w:multiLevelType w:val="hybridMultilevel"/>
    <w:lvl w:ilvl="0">
      <w:lvlJc w:val="left"/>
      <w:lvlText w:val="(%1)"/>
      <w:numFmt w:val="decimal"/>
      <w:start w:val="2"/>
    </w:lvl>
  </w:abstractNum>
  <w:abstractNum w:abstractNumId="57">
    <w:nsid w:val="1DE8725A"/>
    <w:multiLevelType w:val="hybridMultilevel"/>
    <w:lvl w:ilvl="0">
      <w:lvlJc w:val="left"/>
      <w:lvlText w:val="•"/>
      <w:numFmt w:val="bullet"/>
      <w:start w:val="1"/>
    </w:lvl>
  </w:abstractNum>
  <w:abstractNum w:abstractNumId="58">
    <w:nsid w:val="6A37288A"/>
    <w:multiLevelType w:val="hybridMultilevel"/>
    <w:lvl w:ilvl="0">
      <w:lvlJc w:val="left"/>
      <w:lvlText w:val="•"/>
      <w:numFmt w:val="bullet"/>
      <w:start w:val="1"/>
    </w:lvl>
  </w:abstractNum>
  <w:abstractNum w:abstractNumId="59">
    <w:nsid w:val="8F8B73F"/>
    <w:multiLevelType w:val="hybridMultilevel"/>
    <w:lvl w:ilvl="0">
      <w:lvlJc w:val="left"/>
      <w:lvlText w:val="•"/>
      <w:numFmt w:val="bullet"/>
      <w:start w:val="1"/>
    </w:lvl>
  </w:abstractNum>
  <w:abstractNum w:abstractNumId="60">
    <w:nsid w:val="CA6B462"/>
    <w:multiLevelType w:val="hybridMultilevel"/>
    <w:lvl w:ilvl="0">
      <w:lvlJc w:val="left"/>
      <w:lvlText w:val="%1."/>
      <w:numFmt w:val="decimal"/>
      <w:start w:val="12"/>
    </w:lvl>
  </w:abstractNum>
  <w:abstractNum w:abstractNumId="61">
    <w:nsid w:val="763CB680"/>
    <w:multiLevelType w:val="hybridMultilevel"/>
    <w:lvl w:ilvl="0">
      <w:lvlJc w:val="left"/>
      <w:lvlText w:val="•"/>
      <w:numFmt w:val="bullet"/>
      <w:start w:val="1"/>
    </w:lvl>
  </w:abstractNum>
  <w:abstractNum w:abstractNumId="62">
    <w:nsid w:val="15B71329"/>
    <w:multiLevelType w:val="hybridMultilevel"/>
    <w:lvl w:ilvl="0">
      <w:lvlJc w:val="left"/>
      <w:lvlText w:val="•"/>
      <w:numFmt w:val="bullet"/>
      <w:start w:val="1"/>
    </w:lvl>
  </w:abstractNum>
  <w:abstractNum w:abstractNumId="63">
    <w:nsid w:val="3DA97044"/>
    <w:multiLevelType w:val="hybridMultilevel"/>
    <w:lvl w:ilvl="0">
      <w:lvlJc w:val="left"/>
      <w:lvlText w:val="%1."/>
      <w:numFmt w:val="upperLetter"/>
      <w:start w:val="2"/>
    </w:lvl>
  </w:abstractNum>
  <w:abstractNum w:abstractNumId="64">
    <w:nsid w:val="1CDCE2DE"/>
    <w:multiLevelType w:val="hybridMultilevel"/>
    <w:lvl w:ilvl="0">
      <w:lvlJc w:val="left"/>
      <w:lvlText w:val="•"/>
      <w:numFmt w:val="bullet"/>
      <w:start w:val="1"/>
    </w:lvl>
  </w:abstractNum>
  <w:abstractNum w:abstractNumId="65">
    <w:nsid w:val="69D3947C"/>
    <w:multiLevelType w:val="hybridMultilevel"/>
    <w:lvl w:ilvl="0">
      <w:lvlJc w:val="left"/>
      <w:lvlText w:val="•"/>
      <w:numFmt w:val="bullet"/>
      <w:start w:val="1"/>
    </w:lvl>
  </w:abstractNum>
  <w:abstractNum w:abstractNumId="66">
    <w:nsid w:val="2539DFA5"/>
    <w:multiLevelType w:val="hybridMultilevel"/>
    <w:lvl w:ilvl="0">
      <w:lvlJc w:val="left"/>
      <w:lvlText w:val="•"/>
      <w:numFmt w:val="bullet"/>
      <w:start w:val="1"/>
    </w:lvl>
  </w:abstractNum>
  <w:abstractNum w:abstractNumId="67">
    <w:nsid w:val="2DB88089"/>
    <w:multiLevelType w:val="hybridMultilevel"/>
    <w:lvl w:ilvl="0">
      <w:lvlJc w:val="left"/>
      <w:lvlText w:val="•"/>
      <w:numFmt w:val="bullet"/>
      <w:start w:val="1"/>
    </w:lvl>
  </w:abstractNum>
  <w:abstractNum w:abstractNumId="68">
    <w:nsid w:val="706B674E"/>
    <w:multiLevelType w:val="hybridMultilevel"/>
    <w:lvl w:ilvl="0">
      <w:lvlJc w:val="left"/>
      <w:lvlText w:val="•"/>
      <w:numFmt w:val="bullet"/>
      <w:start w:val="1"/>
    </w:lvl>
  </w:abstractNum>
  <w:abstractNum w:abstractNumId="69">
    <w:nsid w:val="2C106A57"/>
    <w:multiLevelType w:val="hybridMultilevel"/>
    <w:lvl w:ilvl="0">
      <w:lvlJc w:val="left"/>
      <w:lvlText w:val="•"/>
      <w:numFmt w:val="bullet"/>
      <w:start w:val="1"/>
    </w:lvl>
  </w:abstractNum>
  <w:abstractNum w:abstractNumId="70">
    <w:nsid w:val="684EED59"/>
    <w:multiLevelType w:val="hybridMultilevel"/>
    <w:lvl w:ilvl="0">
      <w:lvlJc w:val="left"/>
      <w:lvlText w:val="•"/>
      <w:numFmt w:val="bullet"/>
      <w:start w:val="1"/>
    </w:lvl>
  </w:abstractNum>
  <w:abstractNum w:abstractNumId="71">
    <w:nsid w:val="545EE5D3"/>
    <w:multiLevelType w:val="hybridMultilevel"/>
    <w:lvl w:ilvl="0">
      <w:lvlJc w:val="left"/>
      <w:lvlText w:val="•"/>
      <w:numFmt w:val="bullet"/>
      <w:start w:val="1"/>
    </w:lvl>
  </w:abstractNum>
  <w:abstractNum w:abstractNumId="72">
    <w:nsid w:val="4A66051"/>
    <w:multiLevelType w:val="hybridMultilevel"/>
    <w:lvl w:ilvl="0">
      <w:lvlJc w:val="left"/>
      <w:lvlText w:val="•"/>
      <w:numFmt w:val="bullet"/>
      <w:start w:val="1"/>
    </w:lvl>
  </w:abstractNum>
  <w:abstractNum w:abstractNumId="73">
    <w:nsid w:val="20F4BDAD"/>
    <w:multiLevelType w:val="hybridMultilevel"/>
    <w:lvl w:ilvl="0">
      <w:lvlJc w:val="left"/>
      <w:lvlText w:val="•"/>
      <w:numFmt w:val="bullet"/>
      <w:start w:val="1"/>
    </w:lvl>
  </w:abstractNum>
  <w:abstractNum w:abstractNumId="74">
    <w:nsid w:val="639DEFAC"/>
    <w:multiLevelType w:val="hybridMultilevel"/>
    <w:lvl w:ilvl="0">
      <w:lvlJc w:val="left"/>
      <w:lvlText w:val="•"/>
      <w:numFmt w:val="bullet"/>
      <w:start w:val="1"/>
    </w:lvl>
  </w:abstractNum>
  <w:abstractNum w:abstractNumId="75">
    <w:nsid w:val="501F9786"/>
    <w:multiLevelType w:val="hybridMultilevel"/>
    <w:lvl w:ilvl="0">
      <w:lvlJc w:val="left"/>
      <w:lvlText w:val="•"/>
      <w:numFmt w:val="bullet"/>
      <w:start w:val="1"/>
    </w:lvl>
  </w:abstractNum>
  <w:abstractNum w:abstractNumId="76">
    <w:nsid w:val="6B057295"/>
    <w:multiLevelType w:val="hybridMultilevel"/>
    <w:lvl w:ilvl="0">
      <w:lvlJc w:val="left"/>
      <w:lvlText w:val="•"/>
      <w:numFmt w:val="bullet"/>
      <w:start w:val="1"/>
    </w:lvl>
  </w:abstractNum>
  <w:abstractNum w:abstractNumId="77">
    <w:nsid w:val="2771AC80"/>
    <w:multiLevelType w:val="hybridMultilevel"/>
    <w:lvl w:ilvl="0">
      <w:lvlJc w:val="left"/>
      <w:lvlText w:val="•"/>
      <w:numFmt w:val="bullet"/>
      <w:start w:val="1"/>
    </w:lvl>
  </w:abstractNum>
  <w:abstractNum w:abstractNumId="78">
    <w:nsid w:val="1C4A08EC"/>
    <w:multiLevelType w:val="hybridMultilevel"/>
    <w:lvl w:ilvl="0">
      <w:lvlJc w:val="left"/>
      <w:lvlText w:val="•"/>
      <w:numFmt w:val="bullet"/>
      <w:start w:val="1"/>
    </w:lvl>
  </w:abstractNum>
  <w:abstractNum w:abstractNumId="79">
    <w:nsid w:val="1958BD17"/>
    <w:multiLevelType w:val="hybridMultilevel"/>
    <w:lvl w:ilvl="0">
      <w:lvlJc w:val="left"/>
      <w:lvlText w:val="•"/>
      <w:numFmt w:val="bullet"/>
      <w:start w:val="1"/>
    </w:lvl>
  </w:abstractNum>
  <w:abstractNum w:abstractNumId="80">
    <w:nsid w:val="4E647FE4"/>
    <w:multiLevelType w:val="hybridMultilevel"/>
    <w:lvl w:ilvl="0">
      <w:lvlJc w:val="left"/>
      <w:lvlText w:val="•"/>
      <w:numFmt w:val="bullet"/>
      <w:start w:val="1"/>
    </w:lvl>
  </w:abstractNum>
  <w:abstractNum w:abstractNumId="81">
    <w:nsid w:val="E0BB885"/>
    <w:multiLevelType w:val="hybridMultilevel"/>
    <w:lvl w:ilvl="0">
      <w:lvlJc w:val="left"/>
      <w:lvlText w:val="&amp;"/>
      <w:numFmt w:val="bullet"/>
      <w:start w:val="1"/>
    </w:lvl>
  </w:abstractNum>
  <w:abstractNum w:abstractNumId="82">
    <w:nsid w:val="565976F1"/>
    <w:multiLevelType w:val="hybridMultilevel"/>
    <w:lvl w:ilvl="0">
      <w:lvlJc w:val="left"/>
      <w:lvlText w:val="•"/>
      <w:numFmt w:val="bullet"/>
      <w:start w:val="1"/>
    </w:lvl>
  </w:abstractNum>
  <w:abstractNum w:abstractNumId="83">
    <w:nsid w:val="64212B8C"/>
    <w:multiLevelType w:val="hybridMultilevel"/>
    <w:lvl w:ilvl="0">
      <w:lvlJc w:val="left"/>
      <w:lvlText w:val="•"/>
      <w:numFmt w:val="bullet"/>
      <w:start w:val="1"/>
    </w:lvl>
  </w:abstractNum>
  <w:abstractNum w:abstractNumId="84">
    <w:nsid w:val="5C17530C"/>
    <w:multiLevelType w:val="hybridMultilevel"/>
    <w:lvl w:ilvl="0">
      <w:lvlJc w:val="left"/>
      <w:lvlText w:val="•"/>
      <w:numFmt w:val="bullet"/>
      <w:start w:val="1"/>
    </w:lvl>
  </w:abstractNum>
  <w:abstractNum w:abstractNumId="85">
    <w:nsid w:val="19A52566"/>
    <w:multiLevelType w:val="hybridMultilevel"/>
    <w:lvl w:ilvl="0">
      <w:lvlJc w:val="left"/>
      <w:lvlText w:val="•"/>
      <w:numFmt w:val="bullet"/>
      <w:start w:val="1"/>
    </w:lvl>
  </w:abstractNum>
  <w:abstractNum w:abstractNumId="86">
    <w:nsid w:val="335A1DF1"/>
    <w:multiLevelType w:val="hybridMultilevel"/>
    <w:lvl w:ilvl="0">
      <w:lvlJc w:val="left"/>
      <w:lvlText w:val="•"/>
      <w:numFmt w:val="bullet"/>
      <w:start w:val="1"/>
    </w:lvl>
  </w:abstractNum>
  <w:abstractNum w:abstractNumId="87">
    <w:nsid w:val="28677B7C"/>
    <w:multiLevelType w:val="hybridMultilevel"/>
    <w:lvl w:ilvl="0">
      <w:lvlJc w:val="left"/>
      <w:lvlText w:val="•"/>
      <w:numFmt w:val="bullet"/>
      <w:start w:val="1"/>
    </w:lvl>
  </w:abstractNum>
  <w:abstractNum w:abstractNumId="88">
    <w:nsid w:val="378D97C0"/>
    <w:multiLevelType w:val="hybridMultilevel"/>
    <w:lvl w:ilvl="0">
      <w:lvlJc w:val="left"/>
      <w:lvlText w:val="•"/>
      <w:numFmt w:val="bullet"/>
      <w:start w:val="1"/>
    </w:lvl>
  </w:abstractNum>
  <w:abstractNum w:abstractNumId="89">
    <w:nsid w:val="1D91467C"/>
    <w:multiLevelType w:val="hybridMultilevel"/>
    <w:lvl w:ilvl="0">
      <w:lvlJc w:val="left"/>
      <w:lvlText w:val="•"/>
      <w:numFmt w:val="bullet"/>
      <w:start w:val="1"/>
    </w:lvl>
  </w:abstractNum>
  <w:abstractNum w:abstractNumId="90">
    <w:nsid w:val="316032BB"/>
    <w:multiLevelType w:val="hybridMultilevel"/>
    <w:lvl w:ilvl="0">
      <w:lvlJc w:val="left"/>
      <w:lvlText w:val="%1."/>
      <w:numFmt w:val="upperLetter"/>
      <w:start w:val="3"/>
    </w:lvl>
  </w:abstractNum>
  <w:abstractNum w:abstractNumId="91">
    <w:nsid w:val="44344C22"/>
    <w:multiLevelType w:val="hybridMultilevel"/>
    <w:lvl w:ilvl="0">
      <w:lvlJc w:val="left"/>
      <w:lvlText w:val="%1."/>
      <w:numFmt w:val="upperLetter"/>
      <w:start w:val="1"/>
    </w:lvl>
  </w:abstractNum>
  <w:abstractNum w:abstractNumId="92">
    <w:nsid w:val="13CDFCFC"/>
    <w:multiLevelType w:val="hybridMultilevel"/>
    <w:lvl w:ilvl="0">
      <w:lvlJc w:val="left"/>
      <w:lvlText w:val="•"/>
      <w:numFmt w:val="bullet"/>
      <w:start w:val="1"/>
    </w:lvl>
  </w:abstractNum>
  <w:abstractNum w:abstractNumId="93">
    <w:nsid w:val="471745E4"/>
    <w:multiLevelType w:val="hybridMultilevel"/>
    <w:lvl w:ilvl="0">
      <w:lvlJc w:val="left"/>
      <w:lvlText w:val="•"/>
      <w:numFmt w:val="bullet"/>
      <w:start w:val="1"/>
    </w:lvl>
  </w:abstractNum>
  <w:abstractNum w:abstractNumId="94">
    <w:nsid w:val="1DDBC66"/>
    <w:multiLevelType w:val="hybridMultilevel"/>
    <w:lvl w:ilvl="0">
      <w:lvlJc w:val="left"/>
      <w:lvlText w:val="•"/>
      <w:numFmt w:val="bullet"/>
      <w:start w:val="1"/>
    </w:lvl>
  </w:abstractNum>
  <w:abstractNum w:abstractNumId="95">
    <w:nsid w:val="30AADFDA"/>
    <w:multiLevelType w:val="hybridMultilevel"/>
    <w:lvl w:ilvl="0">
      <w:lvlJc w:val="left"/>
      <w:lvlText w:val="%1."/>
      <w:numFmt w:val="upperLetter"/>
      <w:start w:val="2"/>
    </w:lvl>
  </w:abstractNum>
  <w:abstractNum w:abstractNumId="96">
    <w:nsid w:val="30EADA61"/>
    <w:multiLevelType w:val="hybridMultilevel"/>
    <w:lvl w:ilvl="0">
      <w:lvlJc w:val="left"/>
      <w:lvlText w:val="•"/>
      <w:numFmt w:val="bullet"/>
      <w:start w:val="1"/>
    </w:lvl>
  </w:abstractNum>
  <w:abstractNum w:abstractNumId="97">
    <w:nsid w:val="27179C0B"/>
    <w:multiLevelType w:val="hybridMultilevel"/>
    <w:lvl w:ilvl="0">
      <w:lvlJc w:val="left"/>
      <w:lvlText w:val="•"/>
      <w:numFmt w:val="bullet"/>
      <w:start w:val="1"/>
    </w:lvl>
  </w:abstractNum>
  <w:abstractNum w:abstractNumId="98">
    <w:nsid w:val="5E636063"/>
    <w:multiLevelType w:val="hybridMultilevel"/>
    <w:lvl w:ilvl="0">
      <w:lvlJc w:val="left"/>
      <w:lvlText w:val="%1."/>
      <w:numFmt w:val="upperLetter"/>
      <w:start w:val="3"/>
    </w:lvl>
  </w:abstractNum>
  <w:abstractNum w:abstractNumId="99">
    <w:nsid w:val="215641AF"/>
    <w:multiLevelType w:val="hybridMultilevel"/>
    <w:lvl w:ilvl="0">
      <w:lvlJc w:val="left"/>
      <w:lvlText w:val="%1."/>
      <w:numFmt w:val="upperLetter"/>
      <w:start w:val="4"/>
    </w:lvl>
  </w:abstractNum>
  <w:abstractNum w:abstractNumId="100">
    <w:nsid w:val="53280662"/>
    <w:multiLevelType w:val="hybridMultilevel"/>
    <w:lvl w:ilvl="0">
      <w:lvlJc w:val="left"/>
      <w:lvlText w:val="%1."/>
      <w:numFmt w:val="upperLetter"/>
      <w:start w:val="5"/>
    </w:lvl>
  </w:abstractNum>
  <w:abstractNum w:abstractNumId="101">
    <w:nsid w:val="46B24DBC"/>
    <w:multiLevelType w:val="hybridMultilevel"/>
    <w:lvl w:ilvl="0">
      <w:lvlJc w:val="left"/>
      <w:lvlText w:val="•"/>
      <w:numFmt w:val="bullet"/>
      <w:start w:val="1"/>
    </w:lvl>
  </w:abstractNum>
  <w:abstractNum w:abstractNumId="102">
    <w:nsid w:val="75B52783"/>
    <w:multiLevelType w:val="hybridMultilevel"/>
    <w:lvl w:ilvl="0">
      <w:lvlJc w:val="left"/>
      <w:lvlText w:val="%1."/>
      <w:numFmt w:val="upperLetter"/>
      <w:start w:val="1"/>
    </w:lvl>
  </w:abstractNum>
  <w:abstractNum w:abstractNumId="103">
    <w:nsid w:val="57CE66B4"/>
    <w:multiLevelType w:val="hybridMultilevel"/>
    <w:lvl w:ilvl="0">
      <w:lvlJc w:val="left"/>
      <w:lvlText w:val="%1."/>
      <w:numFmt w:val="upperLetter"/>
      <w:start w:val="2"/>
    </w:lvl>
  </w:abstractNum>
  <w:abstractNum w:abstractNumId="104">
    <w:nsid w:val="67A70B69"/>
    <w:multiLevelType w:val="hybridMultilevel"/>
    <w:lvl w:ilvl="0">
      <w:lvlJc w:val="left"/>
      <w:lvlText w:val="•"/>
      <w:numFmt w:val="bullet"/>
      <w:start w:val="1"/>
    </w:lvl>
  </w:abstractNum>
  <w:abstractNum w:abstractNumId="105">
    <w:nsid w:val="5953172F"/>
    <w:multiLevelType w:val="hybridMultilevel"/>
    <w:lvl w:ilvl="0">
      <w:lvlJc w:val="left"/>
      <w:lvlText w:val="•"/>
      <w:numFmt w:val="bullet"/>
      <w:start w:val="1"/>
    </w:lvl>
  </w:abstractNum>
  <w:abstractNum w:abstractNumId="106">
    <w:nsid w:val="27EDFE3A"/>
    <w:multiLevelType w:val="hybridMultilevel"/>
    <w:lvl w:ilvl="0">
      <w:lvlJc w:val="left"/>
      <w:lvlText w:val="•"/>
      <w:numFmt w:val="bullet"/>
      <w:start w:val="1"/>
    </w:lvl>
  </w:abstractNum>
  <w:abstractNum w:abstractNumId="107">
    <w:nsid w:val="52AC7DFF"/>
    <w:multiLevelType w:val="hybridMultilevel"/>
    <w:lvl w:ilvl="0">
      <w:lvlJc w:val="left"/>
      <w:lvlText w:val="%1."/>
      <w:numFmt w:val="decimal"/>
      <w:start w:val="1"/>
    </w:lvl>
  </w:abstractNum>
  <w:abstractNum w:abstractNumId="108">
    <w:nsid w:val="C4C3AF"/>
    <w:multiLevelType w:val="hybridMultilevel"/>
    <w:lvl w:ilvl="0">
      <w:lvlJc w:val="left"/>
      <w:lvlText w:val="%1."/>
      <w:numFmt w:val="decimal"/>
      <w:start w:val="1"/>
    </w:lvl>
  </w:abstractNum>
  <w:abstractNum w:abstractNumId="109">
    <w:nsid w:val="44380727"/>
    <w:multiLevelType w:val="hybridMultilevel"/>
    <w:lvl w:ilvl="0">
      <w:lvlJc w:val="left"/>
      <w:lvlText w:val="%1"/>
      <w:numFmt w:val="decimal"/>
      <w:start w:val="1"/>
    </w:lvl>
    <w:lvl w:ilvl="1">
      <w:lvlJc w:val="left"/>
      <w:lvlText w:val="%2."/>
      <w:numFmt w:val="decimal"/>
      <w:start w:val="1"/>
    </w:lvl>
  </w:abstractNum>
  <w:abstractNum w:abstractNumId="110">
    <w:nsid w:val="6C053B16"/>
    <w:multiLevelType w:val="hybridMultilevel"/>
    <w:lvl w:ilvl="0">
      <w:lvlJc w:val="left"/>
      <w:lvlText w:val="%1."/>
      <w:numFmt w:val="decimal"/>
      <w:start w:val="1"/>
    </w:lvl>
    <w:lvl w:ilvl="1">
      <w:lvlJc w:val="left"/>
      <w:lvlText w:val="%2"/>
      <w:numFmt w:val="decimal"/>
      <w:start w:val="1"/>
    </w:lvl>
  </w:abstractNum>
  <w:abstractNum w:abstractNumId="111">
    <w:nsid w:val="4F294393"/>
    <w:multiLevelType w:val="hybridMultilevel"/>
    <w:lvl w:ilvl="0">
      <w:lvlJc w:val="left"/>
      <w:lvlText w:val="•"/>
      <w:numFmt w:val="bullet"/>
      <w:start w:val="1"/>
    </w:lvl>
    <w:lvl w:ilvl="1">
      <w:lvlJc w:val="left"/>
      <w:lvlText w:val="•"/>
      <w:numFmt w:val="bullet"/>
      <w:start w:val="1"/>
    </w:lvl>
  </w:abstractNum>
  <w:abstractNum w:abstractNumId="112">
    <w:nsid w:val="5243BFAC"/>
    <w:multiLevelType w:val="hybridMultilevel"/>
    <w:lvl w:ilvl="0">
      <w:lvlJc w:val="left"/>
      <w:lvlText w:val="•"/>
      <w:numFmt w:val="bullet"/>
      <w:start w:val="1"/>
    </w:lvl>
    <w:lvl w:ilvl="1">
      <w:lvlJc w:val="left"/>
      <w:lvlText w:val="•"/>
      <w:numFmt w:val="bullet"/>
      <w:start w:val="1"/>
    </w:lvl>
  </w:abstractNum>
  <w:abstractNum w:abstractNumId="113">
    <w:nsid w:val="425EB207"/>
    <w:multiLevelType w:val="hybridMultilevel"/>
    <w:lvl w:ilvl="0">
      <w:lvlJc w:val="left"/>
      <w:lvlText w:val="1"/>
      <w:numFmt w:val="bullet"/>
      <w:start w:val="1"/>
    </w:lvl>
  </w:abstractNum>
  <w:abstractNum w:abstractNumId="114">
    <w:nsid w:val="334A6F1F"/>
    <w:multiLevelType w:val="hybridMultilevel"/>
    <w:lvl w:ilvl="0">
      <w:lvlJc w:val="left"/>
      <w:lvlText w:val="%1."/>
      <w:numFmt w:val="decimal"/>
      <w:start w:val="1"/>
    </w:lvl>
  </w:abstractNum>
  <w:abstractNum w:abstractNumId="115">
    <w:nsid w:val="2E5B12B8"/>
    <w:multiLevelType w:val="hybridMultilevel"/>
    <w:lvl w:ilvl="0">
      <w:lvlJc w:val="left"/>
      <w:lvlText w:val="1"/>
      <w:numFmt w:val="bullet"/>
      <w:start w:val="1"/>
    </w:lvl>
  </w:abstractNum>
  <w:abstractNum w:abstractNumId="116">
    <w:nsid w:val="5C03D76D"/>
    <w:multiLevelType w:val="hybridMultilevel"/>
    <w:lvl w:ilvl="0">
      <w:lvlJc w:val="left"/>
      <w:lvlText w:val="2"/>
      <w:numFmt w:val="bullet"/>
      <w:start w:val="1"/>
    </w:lvl>
  </w:abstractNum>
  <w:abstractNum w:abstractNumId="117">
    <w:nsid w:val="66A48D11"/>
    <w:multiLevelType w:val="hybridMultilevel"/>
    <w:lvl w:ilvl="0">
      <w:lvlJc w:val="left"/>
      <w:lvlText w:val="%1."/>
      <w:numFmt w:val="decimal"/>
      <w:start w:val="1"/>
    </w:lvl>
  </w:abstractNum>
  <w:abstractNum w:abstractNumId="118">
    <w:nsid w:val="56C28E34"/>
    <w:multiLevelType w:val="hybridMultilevel"/>
    <w:lvl w:ilvl="0">
      <w:lvlJc w:val="left"/>
      <w:lvlText w:val="%1."/>
      <w:numFmt w:val="decimal"/>
      <w:start w:val="1"/>
    </w:lvl>
  </w:abstractNum>
  <w:abstractNum w:abstractNumId="119">
    <w:nsid w:val="13916F2D"/>
    <w:multiLevelType w:val="hybridMultilevel"/>
    <w:lvl w:ilvl="0">
      <w:lvlJc w:val="left"/>
      <w:lvlText w:val="%1."/>
      <w:numFmt w:val="decimal"/>
      <w:start w:val="1"/>
    </w:lvl>
  </w:abstractNum>
  <w:abstractNum w:abstractNumId="120">
    <w:nsid w:val="435D38D"/>
    <w:multiLevelType w:val="hybridMultilevel"/>
    <w:lvl w:ilvl="0">
      <w:lvlJc w:val="left"/>
      <w:lvlText w:val="%1."/>
      <w:numFmt w:val="upperLetter"/>
      <w:start w:val="3"/>
    </w:lvl>
  </w:abstractNum>
  <w:abstractNum w:abstractNumId="121">
    <w:nsid w:val="822C0EF"/>
    <w:multiLevelType w:val="hybridMultilevel"/>
    <w:lvl w:ilvl="0">
      <w:lvlJc w:val="left"/>
      <w:lvlText w:val="•"/>
      <w:numFmt w:val="bullet"/>
      <w:start w:val="1"/>
    </w:lvl>
  </w:abstractNum>
  <w:abstractNum w:abstractNumId="122">
    <w:nsid w:val="57C5BB4F"/>
    <w:multiLevelType w:val="hybridMultilevel"/>
    <w:lvl w:ilvl="0">
      <w:lvlJc w:val="left"/>
      <w:lvlText w:val="•"/>
      <w:numFmt w:val="bullet"/>
      <w:start w:val="1"/>
    </w:lvl>
  </w:abstractNum>
  <w:abstractNum w:abstractNumId="123">
    <w:nsid w:val="1803D089"/>
    <w:multiLevelType w:val="hybridMultilevel"/>
    <w:lvl w:ilvl="0">
      <w:lvlJc w:val="left"/>
      <w:lvlText w:val="•"/>
      <w:numFmt w:val="bullet"/>
      <w:start w:val="1"/>
    </w:lvl>
  </w:abstractNum>
  <w:abstractNum w:abstractNumId="124">
    <w:nsid w:val="4F3A06D4"/>
    <w:multiLevelType w:val="hybridMultilevel"/>
    <w:lvl w:ilvl="0">
      <w:lvlJc w:val="left"/>
      <w:lvlText w:val="%1."/>
      <w:numFmt w:val="upperLetter"/>
      <w:start w:val="5"/>
    </w:lvl>
  </w:abstractNum>
  <w:abstractNum w:abstractNumId="125">
    <w:nsid w:val="59A377B6"/>
    <w:multiLevelType w:val="hybridMultilevel"/>
    <w:lvl w:ilvl="0">
      <w:lvlJc w:val="left"/>
      <w:lvlText w:val="%1."/>
      <w:numFmt w:val="upperLetter"/>
      <w:start w:val="6"/>
    </w:lvl>
  </w:abstractNum>
  <w:abstractNum w:abstractNumId="126">
    <w:nsid w:val="48AEB063"/>
    <w:multiLevelType w:val="hybridMultilevel"/>
    <w:lvl w:ilvl="0">
      <w:lvlJc w:val="left"/>
      <w:lvlText w:val="%1."/>
      <w:numFmt w:val="upperLetter"/>
      <w:start w:val="1"/>
    </w:lvl>
  </w:abstractNum>
  <w:abstractNum w:abstractNumId="127">
    <w:nsid w:val="24E135"/>
    <w:multiLevelType w:val="hybridMultilevel"/>
    <w:lvl w:ilvl="0">
      <w:lvlJc w:val="left"/>
      <w:lvlText w:val="•"/>
      <w:numFmt w:val="bullet"/>
      <w:start w:val="1"/>
    </w:lvl>
  </w:abstractNum>
  <w:abstractNum w:abstractNumId="128">
    <w:nsid w:val="BB13C1"/>
    <w:multiLevelType w:val="hybridMultilevel"/>
    <w:lvl w:ilvl="0">
      <w:lvlJc w:val="left"/>
      <w:lvlText w:val="1"/>
      <w:numFmt w:val="bullet"/>
      <w:start w:val="1"/>
    </w:lvl>
  </w:abstractNum>
  <w:abstractNum w:abstractNumId="129">
    <w:nsid w:val="271210C7"/>
    <w:multiLevelType w:val="hybridMultilevel"/>
    <w:lvl w:ilvl="0">
      <w:lvlJc w:val="left"/>
      <w:lvlText w:val="2"/>
      <w:numFmt w:val="bullet"/>
      <w:start w:val="1"/>
    </w:lvl>
  </w:abstractNum>
  <w:abstractNum w:abstractNumId="130">
    <w:nsid w:val="217B22E4"/>
    <w:multiLevelType w:val="hybridMultilevel"/>
    <w:lvl w:ilvl="0">
      <w:lvlJc w:val="left"/>
      <w:lvlText w:val="3"/>
      <w:numFmt w:val="bullet"/>
      <w:start w:val="1"/>
    </w:lvl>
  </w:abstractNum>
  <w:abstractNum w:abstractNumId="131">
    <w:nsid w:val="53E31A24"/>
    <w:multiLevelType w:val="hybridMultilevel"/>
    <w:lvl w:ilvl="0">
      <w:lvlJc w:val="left"/>
      <w:lvlText w:val="4"/>
      <w:numFmt w:val="bullet"/>
      <w:start w:val="1"/>
    </w:lvl>
  </w:abstractNum>
  <w:abstractNum w:abstractNumId="132">
    <w:nsid w:val="6DC45E83"/>
    <w:multiLevelType w:val="hybridMultilevel"/>
    <w:lvl w:ilvl="0">
      <w:lvlJc w:val="left"/>
      <w:lvlText w:val="5"/>
      <w:numFmt w:val="bullet"/>
      <w:start w:val="1"/>
    </w:lvl>
  </w:abstractNum>
  <w:abstractNum w:abstractNumId="133">
    <w:nsid w:val="17304A67"/>
    <w:multiLevelType w:val="hybridMultilevel"/>
    <w:lvl w:ilvl="0">
      <w:lvlJc w:val="left"/>
      <w:lvlText w:val="6"/>
      <w:numFmt w:val="bullet"/>
      <w:start w:val="1"/>
    </w:lvl>
  </w:abstractNum>
  <w:abstractNum w:abstractNumId="134">
    <w:nsid w:val="2BB180D8"/>
    <w:multiLevelType w:val="hybridMultilevel"/>
    <w:lvl w:ilvl="0">
      <w:lvlJc w:val="left"/>
      <w:lvlText w:val="7"/>
      <w:numFmt w:val="bullet"/>
      <w:start w:val="1"/>
    </w:lvl>
  </w:abstractNum>
  <w:abstractNum w:abstractNumId="135">
    <w:nsid w:val="556B69ED"/>
    <w:multiLevelType w:val="hybridMultilevel"/>
    <w:lvl w:ilvl="0">
      <w:lvlJc w:val="left"/>
      <w:lvlText w:val="8"/>
      <w:numFmt w:val="bullet"/>
      <w:start w:val="1"/>
    </w:lvl>
  </w:abstractNum>
  <w:abstractNum w:abstractNumId="136">
    <w:nsid w:val="70836196"/>
    <w:multiLevelType w:val="hybridMultilevel"/>
    <w:lvl w:ilvl="0">
      <w:lvlJc w:val="left"/>
      <w:lvlText w:val="9"/>
      <w:numFmt w:val="bullet"/>
      <w:start w:val="1"/>
    </w:lvl>
  </w:abstractNum>
  <w:abstractNum w:abstractNumId="137">
    <w:nsid w:val="539F7F12"/>
    <w:multiLevelType w:val="hybridMultilevel"/>
    <w:lvl w:ilvl="0">
      <w:lvlJc w:val="left"/>
      <w:lvlText w:val="%1"/>
      <w:numFmt w:val="upperLetter"/>
      <w:start w:val="1"/>
    </w:lvl>
    <w:lvl w:ilvl="1">
      <w:lvlJc w:val="left"/>
      <w:lvlText w:val="%2"/>
      <w:numFmt w:val="decimal"/>
      <w:start w:val="10"/>
    </w:lvl>
  </w:abstractNum>
  <w:abstractNum w:abstractNumId="138">
    <w:nsid w:val="2817E7EC"/>
    <w:multiLevelType w:val="hybridMultilevel"/>
    <w:lvl w:ilvl="0">
      <w:lvlJc w:val="left"/>
      <w:lvlText w:val="%1."/>
      <w:numFmt w:val="upperLetter"/>
      <w:start w:val="2"/>
    </w:lvl>
    <w:lvl w:ilvl="1">
      <w:lvlJc w:val="left"/>
      <w:lvlText w:val="%2"/>
      <w:numFmt w:val="decimal"/>
      <w:start w:val="1"/>
    </w:lvl>
  </w:abstractNum>
  <w:abstractNum w:abstractNumId="139">
    <w:nsid w:val="71482545"/>
    <w:multiLevelType w:val="hybridMultilevel"/>
    <w:lvl w:ilvl="0">
      <w:lvlJc w:val="left"/>
      <w:lvlText w:val="%1."/>
      <w:numFmt w:val="upperLetter"/>
      <w:start w:val="3"/>
    </w:lvl>
  </w:abstractNum>
  <w:abstractNum w:abstractNumId="140">
    <w:nsid w:val="17D78639"/>
    <w:multiLevelType w:val="hybridMultilevel"/>
    <w:lvl w:ilvl="0">
      <w:lvlJc w:val="left"/>
      <w:lvlText w:val="%1."/>
      <w:numFmt w:val="upperLetter"/>
      <w:start w:val="1"/>
    </w:lvl>
  </w:abstractNum>
  <w:abstractNum w:abstractNumId="141">
    <w:nsid w:val="141D2302"/>
    <w:multiLevelType w:val="hybridMultilevel"/>
    <w:lvl w:ilvl="0">
      <w:lvlJc w:val="left"/>
      <w:lvlText w:val="%1."/>
      <w:numFmt w:val="upperLetter"/>
      <w:start w:val="2"/>
    </w:lvl>
  </w:abstractNum>
  <w:abstractNum w:abstractNumId="142">
    <w:nsid w:val="407168D8"/>
    <w:multiLevelType w:val="hybridMultilevel"/>
    <w:lvl w:ilvl="0">
      <w:lvlJc w:val="left"/>
      <w:lvlText w:val="%1."/>
      <w:numFmt w:val="upperLetter"/>
      <w:start w:val="1"/>
    </w:lvl>
  </w:abstractNum>
  <w:abstractNum w:abstractNumId="143">
    <w:nsid w:val="6A1B45E5"/>
    <w:multiLevelType w:val="hybridMultilevel"/>
    <w:lvl w:ilvl="0">
      <w:lvlJc w:val="left"/>
      <w:lvlText w:val="%1."/>
      <w:numFmt w:val="upperLetter"/>
      <w:start w:val="2"/>
    </w:lvl>
  </w:abstractNum>
  <w:abstractNum w:abstractNumId="144">
    <w:nsid w:val="567BD50A"/>
    <w:multiLevelType w:val="hybridMultilevel"/>
    <w:lvl w:ilvl="0">
      <w:lvlJc w:val="left"/>
      <w:lvlText w:val="%1."/>
      <w:numFmt w:val="upperLetter"/>
      <w:start w:val="3"/>
    </w:lvl>
  </w:abstractNum>
  <w:abstractNum w:abstractNumId="145">
    <w:nsid w:val="73BBD7F8"/>
    <w:multiLevelType w:val="hybridMultilevel"/>
    <w:lvl w:ilvl="0">
      <w:lvlJc w:val="left"/>
      <w:lvlText w:val="%1."/>
      <w:numFmt w:val="upperLetter"/>
      <w:start w:val="4"/>
    </w:lvl>
  </w:abstractNum>
  <w:abstractNum w:abstractNumId="146">
    <w:nsid w:val="1876589D"/>
    <w:multiLevelType w:val="hybridMultilevel"/>
    <w:lvl w:ilvl="0">
      <w:lvlJc w:val="left"/>
      <w:lvlText w:val="%1."/>
      <w:numFmt w:val="upperLetter"/>
      <w:start w:val="5"/>
    </w:lvl>
  </w:abstractNum>
  <w:abstractNum w:abstractNumId="147">
    <w:nsid w:val="327FAC77"/>
    <w:multiLevelType w:val="hybridMultilevel"/>
    <w:lvl w:ilvl="0">
      <w:lvlJc w:val="left"/>
      <w:lvlText w:val="%1."/>
      <w:numFmt w:val="upperLetter"/>
      <w:start w:val="6"/>
    </w:lvl>
  </w:abstractNum>
  <w:abstractNum w:abstractNumId="148">
    <w:nsid w:val="5A606509"/>
    <w:multiLevelType w:val="hybridMultilevel"/>
    <w:lvl w:ilvl="0">
      <w:lvlJc w:val="left"/>
      <w:lvlText w:val="%1."/>
      <w:numFmt w:val="upperLetter"/>
      <w:start w:val="1"/>
    </w:lvl>
  </w:abstractNum>
  <w:abstractNum w:abstractNumId="149">
    <w:nsid w:val="6F38E6D1"/>
    <w:multiLevelType w:val="hybridMultilevel"/>
    <w:lvl w:ilvl="0">
      <w:lvlJc w:val="left"/>
      <w:lvlText w:val="%1."/>
      <w:numFmt w:val="upperLetter"/>
      <w:start w:val="2"/>
    </w:lvl>
  </w:abstractNum>
  <w:abstractNum w:abstractNumId="150">
    <w:nsid w:val="46111BA5"/>
    <w:multiLevelType w:val="hybridMultilevel"/>
    <w:lvl w:ilvl="0">
      <w:lvlJc w:val="left"/>
      <w:lvlText w:val="%1."/>
      <w:numFmt w:val="upperLetter"/>
      <w:start w:val="3"/>
    </w:lvl>
  </w:abstractNum>
  <w:abstractNum w:abstractNumId="151">
    <w:nsid w:val="5E963896"/>
    <w:multiLevelType w:val="hybridMultilevel"/>
    <w:lvl w:ilvl="0">
      <w:lvlJc w:val="left"/>
      <w:lvlText w:val="%1."/>
      <w:numFmt w:val="upperLetter"/>
      <w:start w:val="4"/>
    </w:lvl>
  </w:abstractNum>
  <w:abstractNum w:abstractNumId="152">
    <w:nsid w:val="775BA7C1"/>
    <w:multiLevelType w:val="hybridMultilevel"/>
    <w:lvl w:ilvl="0">
      <w:lvlJc w:val="left"/>
      <w:lvlText w:val="%1."/>
      <w:numFmt w:val="upperLetter"/>
      <w:start w:val="5"/>
    </w:lvl>
  </w:abstractNum>
  <w:abstractNum w:abstractNumId="153">
    <w:nsid w:val="1DD6D6F4"/>
    <w:multiLevelType w:val="hybridMultilevel"/>
    <w:lvl w:ilvl="0">
      <w:lvlJc w:val="left"/>
      <w:lvlText w:val="•"/>
      <w:numFmt w:val="bullet"/>
      <w:start w:val="1"/>
    </w:lvl>
  </w:abstractNum>
  <w:abstractNum w:abstractNumId="154">
    <w:nsid w:val="769A091F"/>
    <w:multiLevelType w:val="hybridMultilevel"/>
    <w:lvl w:ilvl="0">
      <w:lvlJc w:val="left"/>
      <w:lvlText w:val="•"/>
      <w:numFmt w:val="bullet"/>
      <w:start w:val="1"/>
    </w:lvl>
  </w:abstractNum>
  <w:abstractNum w:abstractNumId="155">
    <w:nsid w:val="4695AE95"/>
    <w:multiLevelType w:val="hybridMultilevel"/>
    <w:lvl w:ilvl="0">
      <w:lvlJc w:val="left"/>
      <w:lvlText w:val="•"/>
      <w:numFmt w:val="bullet"/>
      <w:start w:val="1"/>
    </w:lvl>
  </w:abstractNum>
  <w:abstractNum w:abstractNumId="156">
    <w:nsid w:val="777A4EAA"/>
    <w:multiLevelType w:val="hybridMultilevel"/>
    <w:lvl w:ilvl="0">
      <w:lvlJc w:val="left"/>
      <w:lvlText w:val="•"/>
      <w:numFmt w:val="bullet"/>
      <w:start w:val="1"/>
    </w:lvl>
  </w:abstractNum>
  <w:abstractNum w:abstractNumId="157">
    <w:nsid w:val="3F48B982"/>
    <w:multiLevelType w:val="hybridMultilevel"/>
    <w:lvl w:ilvl="0">
      <w:lvlJc w:val="left"/>
      <w:lvlText w:val="%1."/>
      <w:numFmt w:val="upperLetter"/>
      <w:start w:val="6"/>
    </w:lvl>
  </w:abstractNum>
  <w:abstractNum w:abstractNumId="158">
    <w:nsid w:val="46BA8FCA"/>
    <w:multiLevelType w:val="hybridMultilevel"/>
    <w:lvl w:ilvl="0">
      <w:lvlJc w:val="left"/>
      <w:lvlText w:val="%1."/>
      <w:numFmt w:val="upperLetter"/>
      <w:start w:val="7"/>
    </w:lvl>
  </w:abstractNum>
  <w:abstractNum w:abstractNumId="159">
    <w:nsid w:val="7835626C"/>
    <w:multiLevelType w:val="hybridMultilevel"/>
    <w:lvl w:ilvl="0">
      <w:lvlJc w:val="left"/>
      <w:lvlText w:val="%1."/>
      <w:numFmt w:val="upperLetter"/>
      <w:start w:val="8"/>
    </w:lvl>
  </w:abstractNum>
  <w:abstractNum w:abstractNumId="160">
    <w:nsid w:val="665ACA49"/>
    <w:multiLevelType w:val="hybridMultilevel"/>
    <w:lvl w:ilvl="0">
      <w:lvlJc w:val="left"/>
      <w:lvlText w:val="%1."/>
      <w:numFmt w:val="upperLetter"/>
      <w:start w:val="9"/>
    </w:lvl>
  </w:abstractNum>
  <w:abstractNum w:abstractNumId="161">
    <w:nsid w:val="6835B2AE"/>
    <w:multiLevelType w:val="hybridMultilevel"/>
    <w:lvl w:ilvl="0">
      <w:lvlJc w:val="left"/>
      <w:lvlText w:val="%1."/>
      <w:numFmt w:val="upperLetter"/>
      <w:start w:val="1"/>
    </w:lvl>
  </w:abstractNum>
  <w:abstractNum w:abstractNumId="162">
    <w:nsid w:val="4C187C90"/>
    <w:multiLevelType w:val="hybridMultilevel"/>
    <w:lvl w:ilvl="0">
      <w:lvlJc w:val="left"/>
      <w:lvlText w:val="%1."/>
      <w:numFmt w:val="upperLetter"/>
      <w:start w:val="4"/>
    </w:lvl>
  </w:abstractNum>
  <w:abstractNum w:abstractNumId="163">
    <w:nsid w:val="541F28CD"/>
    <w:multiLevelType w:val="hybridMultilevel"/>
    <w:lvl w:ilvl="0">
      <w:lvlJc w:val="left"/>
      <w:lvlText w:val="•"/>
      <w:numFmt w:val="bullet"/>
      <w:start w:val="1"/>
    </w:lvl>
  </w:abstractNum>
  <w:abstractNum w:abstractNumId="164">
    <w:nsid w:val="7F65FD16"/>
    <w:multiLevelType w:val="hybridMultilevel"/>
    <w:lvl w:ilvl="0">
      <w:lvlJc w:val="left"/>
      <w:lvlText w:val="(%1)"/>
      <w:numFmt w:val="lowerRoman"/>
      <w:start w:val="3"/>
    </w:lvl>
  </w:abstractNum>
  <w:abstractNum w:abstractNumId="165">
    <w:nsid w:val="77C9FD68"/>
    <w:multiLevelType w:val="hybridMultilevel"/>
    <w:lvl w:ilvl="0">
      <w:lvlJc w:val="left"/>
      <w:lvlText w:val="%1."/>
      <w:numFmt w:val="decimal"/>
      <w:start w:val="1"/>
    </w:lvl>
  </w:abstractNum>
  <w:abstractNum w:abstractNumId="166">
    <w:nsid w:val="298A92BA"/>
    <w:multiLevelType w:val="hybridMultilevel"/>
    <w:lvl w:ilvl="0">
      <w:lvlJc w:val="left"/>
      <w:lvlText w:val="•"/>
      <w:numFmt w:val="bullet"/>
      <w:start w:val="1"/>
    </w:lvl>
    <w:lvl w:ilvl="1">
      <w:lvlJc w:val="left"/>
      <w:lvlText w:val="•"/>
      <w:numFmt w:val="bullet"/>
      <w:start w:val="1"/>
    </w:lvl>
  </w:abstractNum>
  <w:abstractNum w:abstractNumId="167">
    <w:nsid w:val="6FE95EAC"/>
    <w:multiLevelType w:val="hybridMultilevel"/>
    <w:lvl w:ilvl="0">
      <w:lvlJc w:val="left"/>
      <w:lvlText w:val="+"/>
      <w:numFmt w:val="bullet"/>
      <w:start w:val="1"/>
    </w:lvl>
  </w:abstractNum>
  <w:abstractNum w:abstractNumId="168">
    <w:nsid w:val="4B697C7A"/>
    <w:multiLevelType w:val="hybridMultilevel"/>
    <w:lvl w:ilvl="0">
      <w:lvlJc w:val="left"/>
      <w:lvlText w:val="†"/>
      <w:numFmt w:val="bullet"/>
      <w:start w:val="1"/>
    </w:lvl>
  </w:abstractNum>
  <w:abstractNum w:abstractNumId="169">
    <w:nsid w:val="51A27AA6"/>
    <w:multiLevelType w:val="hybridMultilevel"/>
    <w:lvl w:ilvl="0">
      <w:lvlJc w:val="left"/>
      <w:lvlText w:val="%1."/>
      <w:numFmt w:val="decimal"/>
      <w:start w:val="1"/>
    </w:lvl>
  </w:abstractNum>
  <w:abstractNum w:abstractNumId="170">
    <w:nsid w:val="613183F2"/>
    <w:multiLevelType w:val="hybridMultilevel"/>
    <w:lvl w:ilvl="0">
      <w:lvlJc w:val="left"/>
      <w:lvlText w:val="%1."/>
      <w:numFmt w:val="decimal"/>
      <w:start w:val="2"/>
    </w:lvl>
  </w:abstractNum>
  <w:abstractNum w:abstractNumId="171">
    <w:nsid w:val="634102B4"/>
    <w:multiLevelType w:val="hybridMultilevel"/>
    <w:lvl w:ilvl="0">
      <w:lvlJc w:val="left"/>
      <w:lvlText w:val="%1."/>
      <w:numFmt w:val="lowerLetter"/>
      <w:start w:val="1"/>
    </w:lvl>
  </w:abstractNum>
  <w:abstractNum w:abstractNumId="172">
    <w:nsid w:val="65BF9DA8"/>
    <w:multiLevelType w:val="hybridMultilevel"/>
    <w:lvl w:ilvl="0">
      <w:lvlJc w:val="left"/>
      <w:lvlText w:val="%1."/>
      <w:numFmt w:val="lowerLetter"/>
      <w:start w:val="2"/>
    </w:lvl>
  </w:abstractNum>
  <w:abstractNum w:abstractNumId="173">
    <w:nsid w:val="21A2ECCA"/>
    <w:multiLevelType w:val="hybridMultilevel"/>
    <w:lvl w:ilvl="0">
      <w:lvlJc w:val="left"/>
      <w:lvlText w:val="%1."/>
      <w:numFmt w:val="lowerLetter"/>
      <w:start w:val="3"/>
    </w:lvl>
  </w:abstractNum>
  <w:abstractNum w:abstractNumId="174">
    <w:nsid w:val="4D5C4899"/>
    <w:multiLevelType w:val="hybridMultilevel"/>
    <w:lvl w:ilvl="0">
      <w:lvlJc w:val="left"/>
      <w:lvlText w:val="%1."/>
      <w:numFmt w:val="lowerLetter"/>
      <w:start w:val="1"/>
    </w:lvl>
  </w:abstractNum>
  <w:abstractNum w:abstractNumId="175">
    <w:nsid w:val="3C3B72B2"/>
    <w:multiLevelType w:val="hybridMultilevel"/>
    <w:lvl w:ilvl="0">
      <w:lvlJc w:val="left"/>
      <w:lvlText w:val="%1."/>
      <w:numFmt w:val="lowerLetter"/>
      <w:start w:val="2"/>
    </w:lvl>
  </w:abstractNum>
  <w:abstractNum w:abstractNumId="176">
    <w:nsid w:val="155EC4C2"/>
    <w:multiLevelType w:val="hybridMultilevel"/>
    <w:lvl w:ilvl="0">
      <w:lvlJc w:val="left"/>
      <w:lvlText w:val="%1."/>
      <w:numFmt w:val="lowerLetter"/>
      <w:start w:val="3"/>
    </w:lvl>
  </w:abstractNum>
  <w:abstractNum w:abstractNumId="177">
    <w:nsid w:val="65D2A137"/>
    <w:multiLevelType w:val="hybridMultilevel"/>
    <w:lvl w:ilvl="0">
      <w:lvlJc w:val="left"/>
      <w:lvlText w:val="•"/>
      <w:numFmt w:val="bullet"/>
      <w:start w:val="1"/>
    </w:lvl>
  </w:abstractNum>
  <w:abstractNum w:abstractNumId="178">
    <w:nsid w:val="6EBB1F2A"/>
    <w:multiLevelType w:val="hybridMultilevel"/>
    <w:lvl w:ilvl="0">
      <w:lvlJc w:val="left"/>
      <w:lvlText w:val="•"/>
      <w:numFmt w:val="bullet"/>
      <w:start w:val="1"/>
    </w:lvl>
  </w:abstractNum>
  <w:abstractNum w:abstractNumId="179">
    <w:nsid w:val="6FBF29CB"/>
    <w:multiLevelType w:val="hybridMultilevel"/>
    <w:lvl w:ilvl="0">
      <w:lvlJc w:val="left"/>
      <w:lvlText w:val="%1."/>
      <w:numFmt w:val="lowerLetter"/>
      <w:start w:val="1"/>
    </w:lvl>
  </w:abstractNum>
  <w:abstractNum w:abstractNumId="180">
    <w:nsid w:val="550B8808"/>
    <w:multiLevelType w:val="hybridMultilevel"/>
    <w:lvl w:ilvl="0">
      <w:lvlJc w:val="left"/>
      <w:lvlText w:val="•"/>
      <w:numFmt w:val="bullet"/>
      <w:start w:val="1"/>
    </w:lvl>
  </w:abstractNum>
  <w:abstractNum w:abstractNumId="181">
    <w:nsid w:val="34CC3ACF"/>
    <w:multiLevelType w:val="hybridMultilevel"/>
    <w:lvl w:ilvl="0">
      <w:lvlJc w:val="left"/>
      <w:lvlText w:val="•"/>
      <w:numFmt w:val="bullet"/>
      <w:start w:val="1"/>
    </w:lvl>
  </w:abstractNum>
  <w:abstractNum w:abstractNumId="182">
    <w:nsid w:val="4E556261"/>
    <w:multiLevelType w:val="hybridMultilevel"/>
    <w:lvl w:ilvl="0">
      <w:lvlJc w:val="left"/>
      <w:lvlText w:val="•"/>
      <w:numFmt w:val="bullet"/>
      <w:start w:val="1"/>
    </w:lvl>
  </w:abstractNum>
  <w:abstractNum w:abstractNumId="183">
    <w:nsid w:val="4C672FC9"/>
    <w:multiLevelType w:val="hybridMultilevel"/>
    <w:lvl w:ilvl="0">
      <w:lvlJc w:val="left"/>
      <w:lvlText w:val="%1."/>
      <w:numFmt w:val="lowerLetter"/>
      <w:start w:val="1"/>
    </w:lvl>
  </w:abstractNum>
  <w:abstractNum w:abstractNumId="184">
    <w:nsid w:val="52A311C3"/>
    <w:multiLevelType w:val="hybridMultilevel"/>
    <w:lvl w:ilvl="0">
      <w:lvlJc w:val="left"/>
      <w:lvlText w:val="%1."/>
      <w:numFmt w:val="lowerLetter"/>
      <w:start w:val="2"/>
    </w:lvl>
  </w:abstractNum>
  <w:abstractNum w:abstractNumId="185">
    <w:nsid w:val="44EF6B80"/>
    <w:multiLevelType w:val="hybridMultilevel"/>
    <w:lvl w:ilvl="0">
      <w:lvlJc w:val="left"/>
      <w:lvlText w:val="%1."/>
      <w:numFmt w:val="lowerLetter"/>
      <w:start w:val="3"/>
    </w:lvl>
  </w:abstractNum>
  <w:abstractNum w:abstractNumId="186">
    <w:nsid w:val="12FCDE5E"/>
    <w:multiLevelType w:val="hybridMultilevel"/>
    <w:lvl w:ilvl="0">
      <w:lvlJc w:val="left"/>
      <w:lvlText w:val="%1."/>
      <w:numFmt w:val="lowerLetter"/>
      <w:start w:val="4"/>
    </w:lvl>
  </w:abstractNum>
  <w:abstractNum w:abstractNumId="187">
    <w:nsid w:val="4A1D606E"/>
    <w:multiLevelType w:val="hybridMultilevel"/>
    <w:lvl w:ilvl="0">
      <w:lvlJc w:val="left"/>
      <w:lvlText w:val="%1."/>
      <w:numFmt w:val="lowerLetter"/>
      <w:start w:val="1"/>
    </w:lvl>
  </w:abstractNum>
  <w:abstractNum w:abstractNumId="188">
    <w:nsid w:val="4382503"/>
    <w:multiLevelType w:val="hybridMultilevel"/>
    <w:lvl w:ilvl="0">
      <w:lvlJc w:val="left"/>
      <w:lvlText w:val="%1."/>
      <w:numFmt w:val="lowerLetter"/>
      <w:start w:val="1"/>
    </w:lvl>
  </w:abstractNum>
  <w:abstractNum w:abstractNumId="189">
    <w:nsid w:val="59B76E28"/>
    <w:multiLevelType w:val="hybridMultilevel"/>
    <w:lvl w:ilvl="0">
      <w:lvlJc w:val="left"/>
      <w:lvlText w:val="%1."/>
      <w:numFmt w:val="lowerLetter"/>
      <w:start w:val="2"/>
    </w:lvl>
  </w:abstractNum>
  <w:abstractNum w:abstractNumId="190">
    <w:nsid w:val="4252C2DA"/>
    <w:multiLevelType w:val="hybridMultilevel"/>
    <w:lvl w:ilvl="0">
      <w:lvlJc w:val="left"/>
      <w:lvlText w:val="%1."/>
      <w:numFmt w:val="lowerLetter"/>
      <w:start w:val="3"/>
    </w:lvl>
  </w:abstractNum>
  <w:abstractNum w:abstractNumId="191">
    <w:nsid w:val="6A92EF4C"/>
    <w:multiLevelType w:val="hybridMultilevel"/>
    <w:lvl w:ilvl="0">
      <w:lvlJc w:val="left"/>
      <w:lvlText w:val="%1."/>
      <w:numFmt w:val="lowerLetter"/>
      <w:start w:val="4"/>
    </w:lvl>
  </w:abstractNum>
  <w:abstractNum w:abstractNumId="192">
    <w:nsid w:val="41ED20D7"/>
    <w:multiLevelType w:val="hybridMultilevel"/>
    <w:lvl w:ilvl="0">
      <w:lvlJc w:val="left"/>
      <w:lvlText w:val="•"/>
      <w:numFmt w:val="bullet"/>
      <w:start w:val="1"/>
    </w:lvl>
  </w:abstractNum>
  <w:abstractNum w:abstractNumId="193">
    <w:nsid w:val="E6B3F6A"/>
    <w:multiLevelType w:val="hybridMultilevel"/>
    <w:lvl w:ilvl="0">
      <w:lvlJc w:val="left"/>
      <w:lvlText w:val="%1."/>
      <w:numFmt w:val="lowerLetter"/>
      <w:start w:val="1"/>
    </w:lvl>
  </w:abstractNum>
  <w:abstractNum w:abstractNumId="194">
    <w:nsid w:val="3EB21819"/>
    <w:multiLevelType w:val="hybridMultilevel"/>
    <w:lvl w:ilvl="0">
      <w:lvlJc w:val="left"/>
      <w:lvlText w:val="%1."/>
      <w:numFmt w:val="lowerLetter"/>
      <w:start w:val="2"/>
    </w:lvl>
  </w:abstractNum>
  <w:abstractNum w:abstractNumId="195">
    <w:nsid w:val="41531DED"/>
    <w:multiLevelType w:val="hybridMultilevel"/>
    <w:lvl w:ilvl="0">
      <w:lvlJc w:val="left"/>
      <w:lvlText w:val="%1."/>
      <w:numFmt w:val="lowerLetter"/>
      <w:start w:val="3"/>
    </w:lvl>
  </w:abstractNum>
  <w:abstractNum w:abstractNumId="196">
    <w:nsid w:val="6353CD2"/>
    <w:multiLevelType w:val="hybridMultilevel"/>
    <w:lvl w:ilvl="0">
      <w:lvlJc w:val="left"/>
      <w:lvlText w:val="%1."/>
      <w:numFmt w:val="lowerLetter"/>
      <w:start w:val="4"/>
    </w:lvl>
  </w:abstractNum>
  <w:abstractNum w:abstractNumId="197">
    <w:nsid w:val="683CAAD3"/>
    <w:multiLevelType w:val="hybridMultilevel"/>
    <w:lvl w:ilvl="0">
      <w:lvlJc w:val="left"/>
      <w:lvlText w:val="%1."/>
      <w:numFmt w:val="lowerLetter"/>
      <w:start w:val="5"/>
    </w:lvl>
  </w:abstractNum>
  <w:abstractNum w:abstractNumId="198">
    <w:nsid w:val="313C7C99"/>
    <w:multiLevelType w:val="hybridMultilevel"/>
    <w:lvl w:ilvl="0">
      <w:lvlJc w:val="left"/>
      <w:lvlText w:val="%1."/>
      <w:numFmt w:val="lowerLetter"/>
      <w:start w:val="6"/>
    </w:lvl>
  </w:abstractNum>
  <w:abstractNum w:abstractNumId="199">
    <w:nsid w:val="519EB94C"/>
    <w:multiLevelType w:val="hybridMultilevel"/>
    <w:lvl w:ilvl="0">
      <w:lvlJc w:val="left"/>
      <w:lvlText w:val="%1."/>
      <w:numFmt w:val="lowerLetter"/>
      <w:start w:val="7"/>
    </w:lvl>
  </w:abstractNum>
  <w:abstractNum w:abstractNumId="200">
    <w:nsid w:val="39DF2579"/>
    <w:multiLevelType w:val="hybridMultilevel"/>
    <w:lvl w:ilvl="0">
      <w:lvlJc w:val="left"/>
      <w:lvlText w:val="%1."/>
      <w:numFmt w:val="lowerLetter"/>
      <w:start w:val="1"/>
    </w:lvl>
  </w:abstractNum>
  <w:abstractNum w:abstractNumId="201">
    <w:nsid w:val="126E008B"/>
    <w:multiLevelType w:val="hybridMultilevel"/>
    <w:lvl w:ilvl="0">
      <w:lvlJc w:val="left"/>
      <w:lvlText w:val="%1."/>
      <w:numFmt w:val="lowerLetter"/>
      <w:start w:val="2"/>
    </w:lvl>
  </w:abstractNum>
  <w:abstractNum w:abstractNumId="202">
    <w:nsid w:val="34DFBC00"/>
    <w:multiLevelType w:val="hybridMultilevel"/>
    <w:lvl w:ilvl="0">
      <w:lvlJc w:val="left"/>
      <w:lvlText w:val="•"/>
      <w:numFmt w:val="bullet"/>
      <w:start w:val="1"/>
    </w:lvl>
  </w:abstractNum>
  <w:abstractNum w:abstractNumId="203">
    <w:nsid w:val="1F9EC322"/>
    <w:multiLevelType w:val="hybridMultilevel"/>
    <w:lvl w:ilvl="0">
      <w:lvlJc w:val="left"/>
      <w:lvlText w:val="•"/>
      <w:numFmt w:val="bullet"/>
      <w:start w:val="1"/>
    </w:lvl>
  </w:abstractNum>
  <w:abstractNum w:abstractNumId="204">
    <w:nsid w:val="3410ED56"/>
    <w:multiLevelType w:val="hybridMultilevel"/>
    <w:lvl w:ilvl="0">
      <w:lvlJc w:val="left"/>
      <w:lvlText w:val="%1."/>
      <w:numFmt w:val="decimal"/>
      <w:start w:val="3"/>
    </w:lvl>
  </w:abstractNum>
  <w:abstractNum w:abstractNumId="205">
    <w:nsid w:val="23C049A"/>
    <w:multiLevelType w:val="hybridMultilevel"/>
    <w:lvl w:ilvl="0">
      <w:lvlJc w:val="left"/>
      <w:lvlText w:val="%1."/>
      <w:numFmt w:val="decimal"/>
      <w:start w:val="4"/>
    </w:lvl>
  </w:abstractNum>
  <w:abstractNum w:abstractNumId="206">
    <w:nsid w:val="5BDA35D4"/>
    <w:multiLevelType w:val="hybridMultilevel"/>
    <w:lvl w:ilvl="0">
      <w:lvlJc w:val="left"/>
      <w:lvlText w:val="%1."/>
      <w:numFmt w:val="decimal"/>
      <w:start w:val="8"/>
    </w:lvl>
  </w:abstractNum>
  <w:abstractNum w:abstractNumId="207">
    <w:nsid w:val="496FB218"/>
    <w:multiLevelType w:val="hybridMultilevel"/>
    <w:lvl w:ilvl="0">
      <w:lvlJc w:val="left"/>
      <w:lvlText w:val="%1."/>
      <w:numFmt w:val="decimal"/>
      <w:start w:val="1"/>
    </w:lvl>
  </w:abstractNum>
  <w:abstractNum w:abstractNumId="208">
    <w:nsid w:val="680EA5D1"/>
    <w:multiLevelType w:val="hybridMultilevel"/>
    <w:lvl w:ilvl="0">
      <w:lvlJc w:val="left"/>
      <w:lvlText w:val="%1."/>
      <w:numFmt w:val="decimal"/>
      <w:start w:val="1"/>
    </w:lvl>
  </w:abstractNum>
  <w:abstractNum w:abstractNumId="209">
    <w:nsid w:val="4A9554FE"/>
    <w:multiLevelType w:val="hybridMultilevel"/>
    <w:lvl w:ilvl="0">
      <w:lvlJc w:val="left"/>
      <w:lvlText w:val="%1."/>
      <w:numFmt w:val="decimal"/>
      <w:start w:val="1"/>
    </w:lvl>
  </w:abstractNum>
  <w:abstractNum w:abstractNumId="210">
    <w:nsid w:val="392EDBE4"/>
    <w:multiLevelType w:val="hybridMultilevel"/>
    <w:lvl w:ilvl="0">
      <w:lvlJc w:val="left"/>
      <w:lvlText w:val="•"/>
      <w:numFmt w:val="bullet"/>
      <w:start w:val="1"/>
    </w:lvl>
  </w:abstractNum>
  <w:abstractNum w:abstractNumId="211">
    <w:nsid w:val="3D1A2DD9"/>
    <w:multiLevelType w:val="hybridMultilevel"/>
    <w:lvl w:ilvl="0">
      <w:lvlJc w:val="left"/>
      <w:lvlText w:val="•"/>
      <w:numFmt w:val="bullet"/>
      <w:start w:val="1"/>
    </w:lvl>
  </w:abstractNum>
  <w:abstractNum w:abstractNumId="212">
    <w:nsid w:val="7F618FCD"/>
    <w:multiLevelType w:val="hybridMultilevel"/>
    <w:lvl w:ilvl="0">
      <w:lvlJc w:val="left"/>
      <w:lvlText w:val="%1."/>
      <w:numFmt w:val="decimal"/>
      <w:start w:val="1"/>
    </w:lvl>
  </w:abstractNum>
  <w:abstractNum w:abstractNumId="213">
    <w:nsid w:val="7843E45"/>
    <w:multiLevelType w:val="hybridMultilevel"/>
    <w:lvl w:ilvl="0">
      <w:lvlJc w:val="left"/>
      <w:lvlText w:val="%1."/>
      <w:numFmt w:val="decimal"/>
      <w:start w:val="1"/>
    </w:lvl>
  </w:abstractNum>
  <w:abstractNum w:abstractNumId="214">
    <w:nsid w:val="9815DA3"/>
    <w:multiLevelType w:val="hybridMultilevel"/>
    <w:lvl w:ilvl="0">
      <w:lvlJc w:val="left"/>
      <w:lvlText w:val="%1."/>
      <w:numFmt w:val="decimal"/>
      <w:start w:val="1"/>
    </w:lvl>
  </w:abstractNum>
  <w:abstractNum w:abstractNumId="215">
    <w:nsid w:val="5204A191"/>
    <w:multiLevelType w:val="hybridMultilevel"/>
    <w:lvl w:ilvl="0">
      <w:lvlJc w:val="left"/>
      <w:lvlText w:val="%1."/>
      <w:numFmt w:val="decimal"/>
      <w:start w:val="31"/>
    </w:lvl>
  </w:abstractNum>
  <w:abstractNum w:abstractNumId="216">
    <w:nsid w:val="4C73A9C6"/>
    <w:multiLevelType w:val="hybridMultilevel"/>
    <w:lvl w:ilvl="0">
      <w:lvlJc w:val="left"/>
      <w:lvlText w:val="•"/>
      <w:numFmt w:val="bullet"/>
      <w:start w:val="1"/>
    </w:lvl>
  </w:abstractNum>
  <w:abstractNum w:abstractNumId="217">
    <w:nsid w:val="1C7E3C01"/>
    <w:multiLevelType w:val="hybridMultilevel"/>
    <w:lvl w:ilvl="0">
      <w:lvlJc w:val="left"/>
      <w:lvlText w:val="%1."/>
      <w:numFmt w:val="decimal"/>
      <w:start w:val="1"/>
    </w:lvl>
  </w:abstractNum>
  <w:abstractNum w:abstractNumId="218">
    <w:nsid w:val="1C2201FF"/>
    <w:multiLevelType w:val="hybridMultilevel"/>
    <w:lvl w:ilvl="0">
      <w:lvlJc w:val="left"/>
      <w:lvlText w:val="%1."/>
      <w:numFmt w:val="decimal"/>
      <w:start w:val="1"/>
    </w:lvl>
  </w:abstractNum>
  <w:abstractNum w:abstractNumId="219">
    <w:nsid w:val="50ABCEC9"/>
    <w:multiLevelType w:val="hybridMultilevel"/>
    <w:lvl w:ilvl="0">
      <w:lvlJc w:val="left"/>
      <w:lvlText w:val="%1."/>
      <w:numFmt w:val="decimal"/>
      <w:start w:val="1"/>
    </w:lvl>
  </w:abstractNum>
  <w:abstractNum w:abstractNumId="220">
    <w:nsid w:val="7635AA2A"/>
    <w:multiLevelType w:val="hybridMultilevel"/>
    <w:lvl w:ilvl="0">
      <w:lvlJc w:val="left"/>
      <w:lvlText w:val="%1."/>
      <w:numFmt w:val="decimal"/>
      <w:start w:val="4"/>
    </w:lvl>
  </w:abstractNum>
  <w:abstractNum w:abstractNumId="221">
    <w:nsid w:val="5E74C4D9"/>
    <w:multiLevelType w:val="hybridMultilevel"/>
    <w:lvl w:ilvl="0">
      <w:lvlJc w:val="left"/>
      <w:lvlText w:val="•"/>
      <w:numFmt w:val="bullet"/>
      <w:start w:val="1"/>
    </w:lvl>
  </w:abstractNum>
  <w:abstractNum w:abstractNumId="222">
    <w:nsid w:val="3B3EBE15"/>
    <w:multiLevelType w:val="hybridMultilevel"/>
    <w:lvl w:ilvl="0">
      <w:lvlJc w:val="left"/>
      <w:lvlText w:val="•"/>
      <w:numFmt w:val="bullet"/>
      <w:start w:val="1"/>
    </w:lvl>
    <w:lvl w:ilvl="1">
      <w:lvlJc w:val="left"/>
      <w:lvlText w:val="(%2)"/>
      <w:numFmt w:val="lowerRoman"/>
      <w:start w:val="1"/>
    </w:lvl>
  </w:abstractNum>
  <w:abstractNum w:abstractNumId="223">
    <w:nsid w:val="3822CB01"/>
    <w:multiLevelType w:val="hybridMultilevel"/>
    <w:lvl w:ilvl="0">
      <w:lvlJc w:val="left"/>
      <w:lvlText w:val="•"/>
      <w:numFmt w:val="bullet"/>
      <w:start w:val="1"/>
    </w:lvl>
  </w:abstractNum>
  <w:abstractNum w:abstractNumId="224">
    <w:nsid w:val="6CE00443"/>
    <w:multiLevelType w:val="hybridMultilevel"/>
    <w:lvl w:ilvl="0">
      <w:lvlJc w:val="left"/>
      <w:lvlText w:val="(%1)"/>
      <w:numFmt w:val="lowerRoman"/>
      <w:start w:val="2"/>
    </w:lvl>
  </w:abstractNum>
  <w:abstractNum w:abstractNumId="225">
    <w:nsid w:val="79F0D62F"/>
    <w:multiLevelType w:val="hybridMultilevel"/>
    <w:lvl w:ilvl="0">
      <w:lvlJc w:val="left"/>
      <w:lvlText w:val="•"/>
      <w:numFmt w:val="bullet"/>
      <w:start w:val="1"/>
    </w:lvl>
  </w:abstractNum>
  <w:abstractNum w:abstractNumId="226">
    <w:nsid w:val="7975E8EE"/>
    <w:multiLevelType w:val="hybridMultilevel"/>
    <w:lvl w:ilvl="0">
      <w:lvlJc w:val="left"/>
      <w:lvlText w:val="•"/>
      <w:numFmt w:val="bullet"/>
      <w:start w:val="1"/>
    </w:lvl>
  </w:abstractNum>
  <w:abstractNum w:abstractNumId="227">
    <w:nsid w:val="73154115"/>
    <w:multiLevelType w:val="hybridMultilevel"/>
    <w:lvl w:ilvl="0">
      <w:lvlJc w:val="left"/>
      <w:lvlText w:val="•"/>
      <w:numFmt w:val="bullet"/>
      <w:start w:val="1"/>
    </w:lvl>
  </w:abstractNum>
  <w:abstractNum w:abstractNumId="228">
    <w:nsid w:val="622D8102"/>
    <w:multiLevelType w:val="hybridMultilevel"/>
    <w:lvl w:ilvl="0">
      <w:lvlJc w:val="left"/>
      <w:lvlText w:val="•"/>
      <w:numFmt w:val="bullet"/>
      <w:start w:val="1"/>
    </w:lvl>
  </w:abstractNum>
  <w:abstractNum w:abstractNumId="229">
    <w:nsid w:val="2AB26587"/>
    <w:multiLevelType w:val="hybridMultilevel"/>
    <w:lvl w:ilvl="0">
      <w:lvlJc w:val="left"/>
      <w:lvlText w:val="•"/>
      <w:numFmt w:val="bullet"/>
      <w:start w:val="1"/>
    </w:lvl>
  </w:abstractNum>
  <w:abstractNum w:abstractNumId="230">
    <w:nsid w:val="44B3FA61"/>
    <w:multiLevelType w:val="hybridMultilevel"/>
    <w:lvl w:ilvl="0">
      <w:lvlJc w:val="left"/>
      <w:lvlText w:val="•"/>
      <w:numFmt w:val="bullet"/>
      <w:start w:val="1"/>
    </w:lvl>
  </w:abstractNum>
  <w:abstractNum w:abstractNumId="231">
    <w:nsid w:val="1C0CA67C"/>
    <w:multiLevelType w:val="hybridMultilevel"/>
    <w:lvl w:ilvl="0">
      <w:lvlJc w:val="left"/>
      <w:lvlText w:val="(%1)"/>
      <w:numFmt w:val="lowerRoman"/>
      <w:start w:val="1"/>
    </w:lvl>
  </w:abstractNum>
  <w:abstractNum w:abstractNumId="232">
    <w:nsid w:val="3D206613"/>
    <w:multiLevelType w:val="hybridMultilevel"/>
    <w:lvl w:ilvl="0">
      <w:lvlJc w:val="left"/>
      <w:lvlText w:val="•"/>
      <w:numFmt w:val="bullet"/>
      <w:start w:val="1"/>
    </w:lvl>
  </w:abstractNum>
  <w:abstractNum w:abstractNumId="233">
    <w:nsid w:val="7993B662"/>
    <w:multiLevelType w:val="hybridMultilevel"/>
    <w:lvl w:ilvl="0">
      <w:lvlJc w:val="left"/>
      <w:lvlText w:val="1"/>
      <w:numFmt w:val="bullet"/>
      <w:start w:val="1"/>
    </w:lvl>
    <w:lvl w:ilvl="1">
      <w:lvlJc w:val="left"/>
      <w:lvlText w:val="(%2)"/>
      <w:numFmt w:val="lowerLetter"/>
      <w:start w:val="1"/>
    </w:lvl>
    <w:lvl w:ilvl="2">
      <w:lvlJc w:val="left"/>
      <w:lvlText w:val="(%3)"/>
      <w:numFmt w:val="lowerRoman"/>
      <w:start w:val="1"/>
    </w:lvl>
  </w:abstractNum>
  <w:abstractNum w:abstractNumId="234">
    <w:nsid w:val="3BAB699E"/>
    <w:multiLevelType w:val="hybridMultilevel"/>
    <w:lvl w:ilvl="0">
      <w:lvlJc w:val="left"/>
      <w:lvlText w:val="(%1)"/>
      <w:numFmt w:val="lowerLetter"/>
      <w:start w:val="2"/>
    </w:lvl>
  </w:abstractNum>
  <w:abstractNum w:abstractNumId="235">
    <w:nsid w:val="71315369"/>
    <w:multiLevelType w:val="hybridMultilevel"/>
    <w:lvl w:ilvl="0">
      <w:lvlJc w:val="left"/>
      <w:lvlText w:val="(%1)"/>
      <w:numFmt w:val="lowerLetter"/>
      <w:start w:val="1"/>
    </w:lvl>
  </w:abstractNum>
  <w:abstractNum w:abstractNumId="236">
    <w:nsid w:val="7BCFBAFC"/>
    <w:multiLevelType w:val="hybridMultilevel"/>
    <w:lvl w:ilvl="0">
      <w:lvlJc w:val="left"/>
      <w:lvlText w:val="(%1)"/>
      <w:numFmt w:val="lowerLetter"/>
      <w:start w:val="5"/>
    </w:lvl>
  </w:abstractNum>
  <w:abstractNum w:abstractNumId="237">
    <w:nsid w:val="17859F72"/>
    <w:multiLevelType w:val="hybridMultilevel"/>
    <w:lvl w:ilvl="0">
      <w:lvlJc w:val="left"/>
      <w:lvlText w:val="(%1)"/>
      <w:numFmt w:val="lowerLetter"/>
      <w:start w:val="1"/>
    </w:lvl>
  </w:abstractNum>
  <w:abstractNum w:abstractNumId="238">
    <w:nsid w:val="3AA10581"/>
    <w:multiLevelType w:val="hybridMultilevel"/>
    <w:lvl w:ilvl="0">
      <w:lvlJc w:val="left"/>
      <w:lvlText w:val="2"/>
      <w:numFmt w:val="bullet"/>
      <w:start w:val="1"/>
    </w:lvl>
    <w:lvl w:ilvl="1">
      <w:lvlJc w:val="left"/>
      <w:lvlText w:val="(%2)"/>
      <w:numFmt w:val="lowerLetter"/>
      <w:start w:val="1"/>
    </w:lvl>
    <w:lvl w:ilvl="2">
      <w:lvlJc w:val="left"/>
      <w:lvlText w:val="(%3)"/>
      <w:numFmt w:val="lowerRoman"/>
      <w:start w:val="1"/>
    </w:lvl>
  </w:abstractNum>
  <w:abstractNum w:abstractNumId="239">
    <w:nsid w:val="63DE60CD"/>
    <w:multiLevelType w:val="hybridMultilevel"/>
    <w:lvl w:ilvl="0">
      <w:lvlJc w:val="left"/>
      <w:lvlText w:val="(%1)"/>
      <w:numFmt w:val="lowerLetter"/>
      <w:start w:val="1"/>
    </w:lvl>
  </w:abstractNum>
  <w:abstractNum w:abstractNumId="240">
    <w:nsid w:val="621AF471"/>
    <w:multiLevelType w:val="hybridMultilevel"/>
    <w:lvl w:ilvl="0">
      <w:lvlJc w:val="left"/>
      <w:lvlText w:val="(%1)"/>
      <w:numFmt w:val="lowerLetter"/>
      <w:start w:val="1"/>
    </w:lvl>
    <w:lvl w:ilvl="1">
      <w:lvlJc w:val="left"/>
      <w:lvlText w:val="(%2)"/>
      <w:numFmt w:val="lowerRoman"/>
      <w:start w:val="1"/>
    </w:lvl>
  </w:abstractNum>
  <w:abstractNum w:abstractNumId="241">
    <w:nsid w:val="73CFE165"/>
    <w:multiLevelType w:val="hybridMultilevel"/>
    <w:lvl w:ilvl="0">
      <w:lvlJc w:val="left"/>
      <w:lvlText w:val="(%1)"/>
      <w:numFmt w:val="lowerLetter"/>
      <w:start w:val="1"/>
    </w:lvl>
    <w:lvl w:ilvl="1">
      <w:lvlJc w:val="left"/>
      <w:lvlText w:val="(%2)"/>
      <w:numFmt w:val="lowerRoman"/>
      <w:start w:val="1"/>
    </w:lvl>
  </w:abstractNum>
  <w:abstractNum w:abstractNumId="242">
    <w:nsid w:val="20F88EA6"/>
    <w:multiLevelType w:val="hybridMultilevel"/>
    <w:lvl w:ilvl="0">
      <w:lvlJc w:val="left"/>
      <w:lvlText w:val="(%1)"/>
      <w:numFmt w:val="lowerLetter"/>
      <w:start w:val="1"/>
    </w:lvl>
  </w:abstractNum>
  <w:abstractNum w:abstractNumId="243">
    <w:nsid w:val="617C843E"/>
    <w:multiLevelType w:val="hybridMultilevel"/>
    <w:lvl w:ilvl="0">
      <w:lvlJc w:val="left"/>
      <w:lvlText w:val="(%1)"/>
      <w:numFmt w:val="lowerLetter"/>
      <w:start w:val="3"/>
    </w:lvl>
  </w:abstractNum>
  <w:abstractNum w:abstractNumId="244">
    <w:nsid w:val="7B541FAB"/>
    <w:multiLevelType w:val="hybridMultilevel"/>
    <w:lvl w:ilvl="0">
      <w:lvlJc w:val="left"/>
      <w:lvlText w:val="(%1)"/>
      <w:numFmt w:val="lowerLetter"/>
      <w:start w:val="5"/>
    </w:lvl>
    <w:lvl w:ilvl="1">
      <w:lvlJc w:val="left"/>
      <w:lvlText w:val="(%2)"/>
      <w:numFmt w:val="lowerRoman"/>
      <w:start w:val="1"/>
    </w:lvl>
  </w:abstractNum>
  <w:abstractNum w:abstractNumId="245">
    <w:nsid w:val="2A79EC49"/>
    <w:multiLevelType w:val="hybridMultilevel"/>
    <w:lvl w:ilvl="0">
      <w:lvlJc w:val="left"/>
      <w:lvlText w:val="(%1)"/>
      <w:numFmt w:val="lowerLetter"/>
      <w:start w:val="1"/>
    </w:lvl>
  </w:abstractNum>
  <w:abstractNum w:abstractNumId="246">
    <w:nsid w:val="338125CF"/>
    <w:multiLevelType w:val="hybridMultilevel"/>
    <w:lvl w:ilvl="0">
      <w:lvlJc w:val="left"/>
      <w:lvlText w:val="3"/>
      <w:numFmt w:val="bullet"/>
      <w:start w:val="1"/>
    </w:lvl>
    <w:lvl w:ilvl="1">
      <w:lvlJc w:val="left"/>
      <w:lvlText w:val="(%2)"/>
      <w:numFmt w:val="lowerLetter"/>
      <w:start w:val="1"/>
    </w:lvl>
  </w:abstractNum>
  <w:abstractNum w:abstractNumId="247">
    <w:nsid w:val="47C7C971"/>
    <w:multiLevelType w:val="hybridMultilevel"/>
    <w:lvl w:ilvl="0">
      <w:lvlJc w:val="left"/>
      <w:lvlText w:val="(%1)"/>
      <w:numFmt w:val="lowerLetter"/>
      <w:start w:val="2"/>
    </w:lvl>
    <w:lvl w:ilvl="1">
      <w:lvlJc w:val="left"/>
      <w:lvlText w:val="(%2)"/>
      <w:numFmt w:val="lowerRoman"/>
      <w:start w:val="1"/>
    </w:lvl>
  </w:abstractNum>
  <w:abstractNum w:abstractNumId="248">
    <w:nsid w:val="46F8284B"/>
    <w:multiLevelType w:val="hybridMultilevel"/>
    <w:lvl w:ilvl="0">
      <w:lvlJc w:val="left"/>
      <w:lvlText w:val="(%1)"/>
      <w:numFmt w:val="lowerLetter"/>
      <w:start w:val="1"/>
    </w:lvl>
  </w:abstractNum>
  <w:abstractNum w:abstractNumId="249">
    <w:nsid w:val="4FA327CE"/>
    <w:multiLevelType w:val="hybridMultilevel"/>
    <w:lvl w:ilvl="0">
      <w:lvlJc w:val="left"/>
      <w:lvlText w:val="(%1)"/>
      <w:numFmt w:val="lowerLetter"/>
      <w:start w:val="1"/>
    </w:lvl>
    <w:lvl w:ilvl="1">
      <w:lvlJc w:val="left"/>
      <w:lvlText w:val="(%2)"/>
      <w:numFmt w:val="lowerRoman"/>
      <w:start w:val="1"/>
    </w:lvl>
  </w:abstractNum>
  <w:abstractNum w:abstractNumId="250">
    <w:nsid w:val="1873983A"/>
    <w:multiLevelType w:val="hybridMultilevel"/>
    <w:lvl w:ilvl="0">
      <w:lvlJc w:val="left"/>
      <w:lvlText w:val="(%1)"/>
      <w:numFmt w:val="lowerLetter"/>
      <w:start w:val="3"/>
    </w:lvl>
  </w:abstractNum>
  <w:abstractNum w:abstractNumId="251">
    <w:nsid w:val="3D2DD275"/>
    <w:multiLevelType w:val="hybridMultilevel"/>
    <w:lvl w:ilvl="0">
      <w:lvlJc w:val="left"/>
      <w:lvlText w:val="(%1)"/>
      <w:numFmt w:val="lowerLetter"/>
      <w:start w:val="1"/>
    </w:lvl>
    <w:lvl w:ilvl="1">
      <w:lvlJc w:val="left"/>
      <w:lvlText w:val="(%2)"/>
      <w:numFmt w:val="lowerRoman"/>
      <w:start w:val="1"/>
    </w:lvl>
  </w:abstractNum>
  <w:abstractNum w:abstractNumId="252">
    <w:nsid w:val="2E17ECA7"/>
    <w:multiLevelType w:val="hybridMultilevel"/>
    <w:lvl w:ilvl="0">
      <w:lvlJc w:val="left"/>
      <w:lvlText w:val="(%1)"/>
      <w:numFmt w:val="lowerLetter"/>
      <w:start w:val="1"/>
    </w:lvl>
  </w:abstractNum>
  <w:abstractNum w:abstractNumId="253">
    <w:nsid w:val="53B2564F"/>
    <w:multiLevelType w:val="hybridMultilevel"/>
    <w:lvl w:ilvl="0">
      <w:lvlJc w:val="left"/>
      <w:lvlText w:val="4"/>
      <w:numFmt w:val="bullet"/>
      <w:start w:val="1"/>
    </w:lvl>
    <w:lvl w:ilvl="1">
      <w:lvlJc w:val="left"/>
      <w:lvlText w:val="(%2)"/>
      <w:numFmt w:val="lowerLetter"/>
      <w:start w:val="1"/>
    </w:lvl>
    <w:lvl w:ilvl="2">
      <w:lvlJc w:val="left"/>
      <w:lvlText w:val="(%3)"/>
      <w:numFmt w:val="lowerRoman"/>
      <w:start w:val="1"/>
    </w:lvl>
  </w:abstractNum>
  <w:abstractNum w:abstractNumId="254">
    <w:nsid w:val="75509D76"/>
    <w:multiLevelType w:val="hybridMultilevel"/>
    <w:lvl w:ilvl="0">
      <w:lvlJc w:val="left"/>
      <w:lvlText w:val="(%1)"/>
      <w:numFmt w:val="lowerLetter"/>
      <w:start w:val="2"/>
    </w:lvl>
    <w:lvl w:ilvl="1">
      <w:lvlJc w:val="left"/>
      <w:lvlText w:val="(%2)"/>
      <w:numFmt w:val="lowerRoman"/>
      <w:start w:val="1"/>
    </w:lvl>
  </w:abstractNum>
  <w:abstractNum w:abstractNumId="255">
    <w:nsid w:val="1AF7F0EA"/>
    <w:multiLevelType w:val="hybridMultilevel"/>
    <w:lvl w:ilvl="0">
      <w:lvlJc w:val="left"/>
      <w:lvlText w:val="(%1)"/>
      <w:numFmt w:val="lowerLetter"/>
      <w:start w:val="1"/>
    </w:lvl>
    <w:lvl w:ilvl="1">
      <w:lvlJc w:val="left"/>
      <w:lvlText w:val="(%2)"/>
      <w:numFmt w:val="lowerRoman"/>
      <w:start w:val="1"/>
    </w:lvl>
  </w:abstractNum>
  <w:abstractNum w:abstractNumId="256">
    <w:nsid w:val="4DA32C7E"/>
    <w:multiLevelType w:val="hybridMultilevel"/>
    <w:lvl w:ilvl="0">
      <w:lvlJc w:val="left"/>
      <w:lvlText w:val="(%1)"/>
      <w:numFmt w:val="lowerLetter"/>
      <w:start w:val="1"/>
    </w:lvl>
  </w:abstractNum>
  <w:abstractNum w:abstractNumId="257">
    <w:nsid w:val="6EC68664"/>
    <w:multiLevelType w:val="hybridMultilevel"/>
    <w:lvl w:ilvl="0">
      <w:lvlJc w:val="left"/>
      <w:lvlText w:val="5"/>
      <w:numFmt w:val="bullet"/>
      <w:start w:val="1"/>
    </w:lvl>
    <w:lvl w:ilvl="1">
      <w:lvlJc w:val="left"/>
      <w:lvlText w:val="(%2)"/>
      <w:numFmt w:val="lowerLetter"/>
      <w:start w:val="1"/>
    </w:lvl>
    <w:lvl w:ilvl="2">
      <w:lvlJc w:val="left"/>
      <w:lvlText w:val="(%3)"/>
      <w:numFmt w:val="lowerRoman"/>
      <w:start w:val="1"/>
    </w:lvl>
  </w:abstractNum>
  <w:abstractNum w:abstractNumId="258">
    <w:nsid w:val="E0D31FF"/>
    <w:multiLevelType w:val="hybridMultilevel"/>
    <w:lvl w:ilvl="0">
      <w:lvlJc w:val="left"/>
      <w:lvlText w:val="6"/>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59">
    <w:nsid w:val="2FD0AD81"/>
    <w:multiLevelType w:val="hybridMultilevel"/>
    <w:lvl w:ilvl="0">
      <w:lvlJc w:val="left"/>
      <w:lvlText w:val="(%1)"/>
      <w:numFmt w:val="lowerRoman"/>
      <w:start w:val="5"/>
    </w:lvl>
    <w:lvl w:ilvl="1">
      <w:lvlJc w:val="left"/>
      <w:lvlText w:val="(%2)"/>
      <w:numFmt w:val="upperLetter"/>
      <w:start w:val="1"/>
    </w:lvl>
  </w:abstractNum>
  <w:abstractNum w:abstractNumId="260">
    <w:nsid w:val="1978EBE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261">
    <w:nsid w:val="52C12C61"/>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262">
    <w:nsid w:val="4BDD53F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63">
    <w:nsid w:val="569951FE"/>
    <w:multiLevelType w:val="hybridMultilevel"/>
    <w:lvl w:ilvl="0">
      <w:lvlJc w:val="left"/>
      <w:lvlText w:val="7"/>
      <w:numFmt w:val="bullet"/>
      <w:start w:val="1"/>
    </w:lvl>
    <w:lvl w:ilvl="1">
      <w:lvlJc w:val="left"/>
      <w:lvlText w:val="(%2)"/>
      <w:numFmt w:val="lowerLetter"/>
      <w:start w:val="1"/>
    </w:lvl>
  </w:abstractNum>
  <w:abstractNum w:abstractNumId="264">
    <w:nsid w:val="4C54E2C3"/>
    <w:multiLevelType w:val="hybridMultilevel"/>
    <w:lvl w:ilvl="0">
      <w:lvlJc w:val="left"/>
      <w:lvlText w:val="8"/>
      <w:numFmt w:val="bullet"/>
      <w:start w:val="1"/>
    </w:lvl>
    <w:lvl w:ilvl="1">
      <w:lvlJc w:val="left"/>
      <w:lvlText w:val="(%2)"/>
      <w:numFmt w:val="lowerLetter"/>
      <w:start w:val="1"/>
    </w:lvl>
    <w:lvl w:ilvl="2">
      <w:lvlJc w:val="left"/>
      <w:lvlText w:val="(%3)"/>
      <w:numFmt w:val="lowerRoman"/>
      <w:start w:val="1"/>
    </w:lvl>
  </w:abstractNum>
  <w:abstractNum w:abstractNumId="265">
    <w:nsid w:val="788BD9B"/>
    <w:multiLevelType w:val="hybridMultilevel"/>
    <w:lvl w:ilvl="0">
      <w:lvlJc w:val="left"/>
      <w:lvlText w:val="(%1)"/>
      <w:numFmt w:val="lowerLetter"/>
      <w:start w:val="2"/>
    </w:lvl>
  </w:abstractNum>
  <w:abstractNum w:abstractNumId="266">
    <w:nsid w:val="47CAA567"/>
    <w:multiLevelType w:val="hybridMultilevel"/>
    <w:lvl w:ilvl="0">
      <w:lvlJc w:val="left"/>
      <w:lvlText w:val="9"/>
      <w:numFmt w:val="bullet"/>
      <w:start w:val="1"/>
    </w:lvl>
  </w:abstractNum>
  <w:abstractNum w:abstractNumId="267">
    <w:nsid w:val="48249DBF"/>
    <w:multiLevelType w:val="hybridMultilevel"/>
    <w:lvl w:ilvl="0">
      <w:lvlJc w:val="left"/>
      <w:lvlText w:val="(%1)"/>
      <w:numFmt w:val="lowerLetter"/>
      <w:start w:val="1"/>
    </w:lvl>
    <w:lvl w:ilvl="1">
      <w:lvlJc w:val="left"/>
      <w:lvlText w:val="(%2)"/>
      <w:numFmt w:val="lowerRoman"/>
      <w:start w:val="1"/>
    </w:lvl>
  </w:abstractNum>
  <w:abstractNum w:abstractNumId="268">
    <w:nsid w:val="1F0E5D0D"/>
    <w:multiLevelType w:val="hybridMultilevel"/>
    <w:lvl w:ilvl="0">
      <w:lvlJc w:val="left"/>
      <w:lvlText w:val="%1"/>
      <w:numFmt w:val="lowerLetter"/>
      <w:start w:val="1"/>
    </w:lvl>
    <w:lvl w:ilvl="1">
      <w:lvlJc w:val="left"/>
      <w:lvlText w:val="(%2)"/>
      <w:numFmt w:val="lowerRoman"/>
      <w:start w:val="3"/>
    </w:lvl>
  </w:abstractNum>
  <w:abstractNum w:abstractNumId="269">
    <w:nsid w:val="26BAAE9"/>
    <w:multiLevelType w:val="hybridMultilevel"/>
    <w:lvl w:ilvl="0">
      <w:lvlJc w:val="left"/>
      <w:lvlText w:val="(%1)"/>
      <w:numFmt w:val="lowerLetter"/>
      <w:start w:val="2"/>
    </w:lvl>
    <w:lvl w:ilvl="1">
      <w:lvlJc w:val="left"/>
      <w:lvlText w:val="%2"/>
      <w:numFmt w:val="lowerRoman"/>
      <w:start w:val="1"/>
    </w:lvl>
  </w:abstractNum>
  <w:abstractNum w:abstractNumId="270">
    <w:nsid w:val="2C02FE8C"/>
    <w:multiLevelType w:val="hybridMultilevel"/>
    <w:lvl w:ilvl="0">
      <w:lvlJc w:val="left"/>
      <w:lvlText w:val="(%1)"/>
      <w:numFmt w:val="lowerLetter"/>
      <w:start w:val="1"/>
    </w:lvl>
  </w:abstractNum>
  <w:abstractNum w:abstractNumId="271">
    <w:nsid w:val="129517E"/>
    <w:multiLevelType w:val="hybridMultilevel"/>
    <w:lvl w:ilvl="0">
      <w:lvlJc w:val="left"/>
      <w:lvlText w:val="(%1)"/>
      <w:numFmt w:val="lowerLetter"/>
      <w:start w:val="2"/>
    </w:lvl>
    <w:lvl w:ilvl="1">
      <w:lvlJc w:val="left"/>
      <w:lvlText w:val="(%2)"/>
      <w:numFmt w:val="lowerRoman"/>
      <w:start w:val="1"/>
    </w:lvl>
  </w:abstractNum>
  <w:abstractNum w:abstractNumId="272">
    <w:nsid w:val="763B8C4E"/>
    <w:multiLevelType w:val="hybridMultilevel"/>
    <w:lvl w:ilvl="0">
      <w:lvlJc w:val="left"/>
      <w:lvlText w:val="(%1)"/>
      <w:numFmt w:val="lowerLetter"/>
      <w:start w:val="1"/>
    </w:lvl>
  </w:abstractNum>
  <w:abstractNum w:abstractNumId="273">
    <w:nsid w:val="4CFB8D32"/>
    <w:multiLevelType w:val="hybridMultilevel"/>
    <w:lvl w:ilvl="0">
      <w:lvlJc w:val="left"/>
      <w:lvlText w:val="(%1)"/>
      <w:numFmt w:val="lowerLetter"/>
      <w:start w:val="3"/>
    </w:lvl>
  </w:abstractNum>
  <w:abstractNum w:abstractNumId="274">
    <w:nsid w:val="62A5D5BD"/>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75">
    <w:nsid w:val="718FABF9"/>
    <w:multiLevelType w:val="hybridMultilevel"/>
    <w:lvl w:ilvl="0">
      <w:lvlJc w:val="left"/>
      <w:lvlText w:val="%1"/>
      <w:numFmt w:val="lowerLetter"/>
      <w:start w:val="1"/>
    </w:lvl>
    <w:lvl w:ilvl="1">
      <w:lvlJc w:val="left"/>
      <w:lvlText w:val="(%2)"/>
      <w:numFmt w:val="lowerRoman"/>
      <w:start w:val="1"/>
    </w:lvl>
  </w:abstractNum>
  <w:abstractNum w:abstractNumId="276">
    <w:nsid w:val="7775797C"/>
    <w:multiLevelType w:val="hybridMultilevel"/>
    <w:lvl w:ilvl="0">
      <w:lvlJc w:val="left"/>
      <w:lvlText w:val="(%1)"/>
      <w:numFmt w:val="lowerLetter"/>
      <w:start w:val="4"/>
    </w:lvl>
    <w:lvl w:ilvl="1">
      <w:lvlJc w:val="left"/>
      <w:lvlText w:val="%2"/>
      <w:numFmt w:val="lowerRoman"/>
      <w:start w:val="1"/>
    </w:lvl>
  </w:abstractNum>
  <w:abstractNum w:abstractNumId="277">
    <w:nsid w:val="1626FB8C"/>
    <w:multiLevelType w:val="hybridMultilevel"/>
    <w:lvl w:ilvl="0">
      <w:lvlJc w:val="left"/>
      <w:lvlText w:val="(%1)"/>
      <w:numFmt w:val="lowerLetter"/>
      <w:start w:val="1"/>
    </w:lvl>
    <w:lvl w:ilvl="1">
      <w:lvlJc w:val="left"/>
      <w:lvlText w:val="(%2)"/>
      <w:numFmt w:val="lowerRoman"/>
      <w:start w:val="1"/>
    </w:lvl>
  </w:abstractNum>
  <w:abstractNum w:abstractNumId="278">
    <w:nsid w:val="3957756A"/>
    <w:multiLevelType w:val="hybridMultilevel"/>
    <w:lvl w:ilvl="0">
      <w:lvlJc w:val="left"/>
      <w:lvlText w:val="(%1)"/>
      <w:numFmt w:val="lowerLetter"/>
      <w:start w:val="1"/>
    </w:lvl>
  </w:abstractNum>
  <w:abstractNum w:abstractNumId="279">
    <w:nsid w:val="3E6DA1C7"/>
    <w:multiLevelType w:val="hybridMultilevel"/>
    <w:lvl w:ilvl="0">
      <w:lvlJc w:val="left"/>
      <w:lvlText w:val="(%1)"/>
      <w:numFmt w:val="lowerLetter"/>
      <w:start w:val="2"/>
    </w:lvl>
    <w:lvl w:ilvl="1">
      <w:lvlJc w:val="left"/>
      <w:lvlText w:val="(%2)"/>
      <w:numFmt w:val="lowerRoman"/>
      <w:start w:val="1"/>
    </w:lvl>
  </w:abstractNum>
  <w:abstractNum w:abstractNumId="280">
    <w:nsid w:val="65CA235B"/>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81">
    <w:nsid w:val="51CB0DA4"/>
    <w:multiLevelType w:val="hybridMultilevel"/>
    <w:lvl w:ilvl="0">
      <w:lvlJc w:val="left"/>
      <w:lvlText w:val="(%1)"/>
      <w:numFmt w:val="lowerLetter"/>
      <w:start w:val="2"/>
    </w:lvl>
    <w:lvl w:ilvl="1">
      <w:lvlJc w:val="left"/>
      <w:lvlText w:val="(%2)"/>
      <w:numFmt w:val="lowerRoman"/>
      <w:start w:val="1"/>
    </w:lvl>
  </w:abstractNum>
  <w:abstractNum w:abstractNumId="282">
    <w:nsid w:val="7B9B743C"/>
    <w:multiLevelType w:val="hybridMultilevel"/>
    <w:lvl w:ilvl="0">
      <w:lvlJc w:val="left"/>
      <w:lvlText w:val="(%1)"/>
      <w:numFmt w:val="lowerLetter"/>
      <w:start w:val="3"/>
    </w:lvl>
  </w:abstractNum>
  <w:abstractNum w:abstractNumId="283">
    <w:nsid w:val="13E21002"/>
    <w:multiLevelType w:val="hybridMultilevel"/>
    <w:lvl w:ilvl="0">
      <w:lvlJc w:val="left"/>
      <w:lvlText w:val="(%1)"/>
      <w:numFmt w:val="lowerLetter"/>
      <w:start w:val="1"/>
    </w:lvl>
    <w:lvl w:ilvl="1">
      <w:lvlJc w:val="left"/>
      <w:lvlText w:val="(%2)"/>
      <w:numFmt w:val="lowerRoman"/>
      <w:start w:val="1"/>
    </w:lvl>
  </w:abstractNum>
  <w:abstractNum w:abstractNumId="284">
    <w:nsid w:val="257D63F4"/>
    <w:multiLevelType w:val="hybridMultilevel"/>
    <w:lvl w:ilvl="0">
      <w:lvlJc w:val="left"/>
      <w:lvlText w:val="(%1)"/>
      <w:numFmt w:val="lowerLetter"/>
      <w:start w:val="1"/>
    </w:lvl>
  </w:abstractNum>
  <w:abstractNum w:abstractNumId="285">
    <w:nsid w:val="70EC11B2"/>
    <w:multiLevelType w:val="hybridMultilevel"/>
    <w:lvl w:ilvl="0">
      <w:lvlJc w:val="left"/>
      <w:lvlText w:val="%1"/>
      <w:numFmt w:val="decimal"/>
      <w:start w:val="14"/>
    </w:lvl>
    <w:lvl w:ilvl="1">
      <w:lvlJc w:val="left"/>
      <w:lvlText w:val="(%2)"/>
      <w:numFmt w:val="lowerLetter"/>
      <w:start w:val="1"/>
    </w:lvl>
  </w:abstractNum>
  <w:abstractNum w:abstractNumId="286">
    <w:nsid w:val="2EDA00ED"/>
    <w:multiLevelType w:val="hybridMultilevel"/>
    <w:lvl w:ilvl="0">
      <w:lvlJc w:val="left"/>
      <w:lvlText w:val="(%1)"/>
      <w:numFmt w:val="lowerLetter"/>
      <w:start w:val="2"/>
    </w:lvl>
  </w:abstractNum>
  <w:abstractNum w:abstractNumId="287">
    <w:nsid w:val="73209072"/>
    <w:multiLevelType w:val="hybridMultilevel"/>
    <w:lvl w:ilvl="0">
      <w:lvlJc w:val="left"/>
      <w:lvlText w:val="(%1)"/>
      <w:numFmt w:val="lowerLetter"/>
      <w:start w:val="4"/>
    </w:lvl>
  </w:abstractNum>
  <w:abstractNum w:abstractNumId="288">
    <w:nsid w:val="5FB29816"/>
    <w:multiLevelType w:val="hybridMultilevel"/>
    <w:lvl w:ilvl="0">
      <w:lvlJc w:val="left"/>
      <w:lvlText w:val="(%1)"/>
      <w:numFmt w:val="lowerLetter"/>
      <w:start w:val="1"/>
    </w:lvl>
  </w:abstractNum>
  <w:abstractNum w:abstractNumId="289">
    <w:nsid w:val="3CE732EC"/>
    <w:multiLevelType w:val="hybridMultilevel"/>
    <w:lvl w:ilvl="0">
      <w:lvlJc w:val="left"/>
      <w:lvlText w:val="(%1)"/>
      <w:numFmt w:val="lowerLetter"/>
      <w:start w:val="1"/>
    </w:lvl>
  </w:abstractNum>
  <w:abstractNum w:abstractNumId="290">
    <w:nsid w:val="22F13DF3"/>
    <w:multiLevelType w:val="hybridMultilevel"/>
    <w:lvl w:ilvl="0">
      <w:lvlJc w:val="left"/>
      <w:lvlText w:val="(%1)"/>
      <w:numFmt w:val="lowerLetter"/>
      <w:start w:val="1"/>
    </w:lvl>
  </w:abstractNum>
  <w:abstractNum w:abstractNumId="291">
    <w:nsid w:val="792B8401"/>
    <w:multiLevelType w:val="hybridMultilevel"/>
    <w:lvl w:ilvl="0">
      <w:lvlJc w:val="left"/>
      <w:lvlText w:val="(%1)"/>
      <w:numFmt w:val="lowerLetter"/>
      <w:start w:val="4"/>
    </w:lvl>
    <w:lvl w:ilvl="1">
      <w:lvlJc w:val="left"/>
      <w:lvlText w:val="(%2)"/>
      <w:numFmt w:val="lowerRoman"/>
      <w:start w:val="1"/>
    </w:lvl>
  </w:abstractNum>
  <w:abstractNum w:abstractNumId="292">
    <w:nsid w:val="FA85F4D"/>
    <w:multiLevelType w:val="hybridMultilevel"/>
    <w:lvl w:ilvl="0">
      <w:lvlJc w:val="left"/>
      <w:lvlText w:val="(%1)"/>
      <w:numFmt w:val="lowerLetter"/>
      <w:start w:val="1"/>
    </w:lvl>
    <w:lvl w:ilvl="1">
      <w:lvlJc w:val="left"/>
      <w:lvlText w:val="(%2)"/>
      <w:numFmt w:val="lowerRoman"/>
      <w:start w:val="1"/>
    </w:lvl>
  </w:abstractNum>
  <w:abstractNum w:abstractNumId="293">
    <w:nsid w:val="6ECE91F0"/>
    <w:multiLevelType w:val="hybridMultilevel"/>
    <w:lvl w:ilvl="0">
      <w:lvlJc w:val="left"/>
      <w:lvlText w:val="(%1)"/>
      <w:numFmt w:val="lowerLetter"/>
      <w:start w:val="1"/>
    </w:lvl>
  </w:abstractNum>
  <w:abstractNum w:abstractNumId="294">
    <w:nsid w:val="4FC4D600"/>
    <w:multiLevelType w:val="hybridMultilevel"/>
    <w:lvl w:ilvl="0">
      <w:lvlJc w:val="left"/>
      <w:lvlText w:val="(%1)"/>
      <w:numFmt w:val="lowerLetter"/>
      <w:start w:val="1"/>
    </w:lvl>
    <w:lvl w:ilvl="1">
      <w:lvlJc w:val="left"/>
      <w:lvlText w:val="(%2)"/>
      <w:numFmt w:val="lowerRoman"/>
      <w:start w:val="1"/>
    </w:lvl>
  </w:abstractNum>
  <w:abstractNum w:abstractNumId="295">
    <w:nsid w:val="5BFD4210"/>
    <w:multiLevelType w:val="hybridMultilevel"/>
    <w:lvl w:ilvl="0">
      <w:lvlJc w:val="left"/>
      <w:lvlText w:val="(%1)"/>
      <w:numFmt w:val="lowerLetter"/>
      <w:start w:val="1"/>
    </w:lvl>
  </w:abstractNum>
  <w:abstractNum w:abstractNumId="296">
    <w:nsid w:val="76574F8B"/>
    <w:multiLevelType w:val="hybridMultilevel"/>
    <w:lvl w:ilvl="0">
      <w:lvlJc w:val="left"/>
      <w:lvlText w:val="%1"/>
      <w:numFmt w:val="decimal"/>
      <w:start w:val="16"/>
    </w:lvl>
  </w:abstractNum>
  <w:abstractNum w:abstractNumId="297">
    <w:nsid w:val="178F7B67"/>
    <w:multiLevelType w:val="hybridMultilevel"/>
    <w:lvl w:ilvl="0">
      <w:lvlJc w:val="left"/>
      <w:lvlText w:val="(%1)"/>
      <w:numFmt w:val="lowerLetter"/>
      <w:start w:val="1"/>
    </w:lvl>
  </w:abstractNum>
  <w:abstractNum w:abstractNumId="298">
    <w:nsid w:val="2421DFCF"/>
    <w:multiLevelType w:val="hybridMultilevel"/>
    <w:lvl w:ilvl="0">
      <w:lvlJc w:val="left"/>
      <w:lvlText w:val="%1."/>
      <w:numFmt w:val="decimal"/>
      <w:start w:val="1"/>
    </w:lvl>
    <w:lvl w:ilvl="1">
      <w:lvlJc w:val="left"/>
      <w:lvlText w:val="%2)"/>
      <w:numFmt w:val="lowerLetter"/>
      <w:start w:val="1"/>
    </w:lvl>
  </w:abstractNum>
  <w:abstractNum w:abstractNumId="299">
    <w:nsid w:val="1565AC99"/>
    <w:multiLevelType w:val="hybridMultilevel"/>
    <w:lvl w:ilvl="0">
      <w:lvlJc w:val="left"/>
      <w:lvlText w:val="%1)"/>
      <w:numFmt w:val="lowerLetter"/>
      <w:start w:val="5"/>
    </w:lvl>
  </w:abstractNum>
  <w:abstractNum w:abstractNumId="300">
    <w:nsid w:val="19FB2650"/>
    <w:multiLevelType w:val="hybridMultilevel"/>
    <w:lvl w:ilvl="0">
      <w:lvlJc w:val="left"/>
      <w:lvlText w:val="%1."/>
      <w:numFmt w:val="decimal"/>
      <w:start w:val="2"/>
    </w:lvl>
  </w:abstractNum>
  <w:abstractNum w:abstractNumId="301">
    <w:nsid w:val="5024DE5B"/>
    <w:multiLevelType w:val="hybridMultilevel"/>
    <w:lvl w:ilvl="0">
      <w:lvlJc w:val="left"/>
      <w:lvlText w:val="%1."/>
      <w:numFmt w:val="decimal"/>
      <w:start w:val="3"/>
    </w:lvl>
    <w:lvl w:ilvl="1">
      <w:lvlJc w:val="left"/>
      <w:lvlText w:val="%2."/>
      <w:numFmt w:val="lowerLetter"/>
      <w:start w:val="1"/>
    </w:lvl>
  </w:abstractNum>
  <w:abstractNum w:abstractNumId="302">
    <w:nsid w:val="168EFE17"/>
    <w:multiLevelType w:val="hybridMultilevel"/>
    <w:lvl w:ilvl="0">
      <w:lvlJc w:val="left"/>
      <w:lvlText w:val="%1."/>
      <w:numFmt w:val="lowerLetter"/>
      <w:start w:val="4"/>
    </w:lvl>
  </w:abstractNum>
  <w:abstractNum w:abstractNumId="303">
    <w:nsid w:val="1036B29F"/>
    <w:multiLevelType w:val="hybridMultilevel"/>
    <w:lvl w:ilvl="0">
      <w:lvlJc w:val="left"/>
      <w:lvlText w:val="%1."/>
      <w:numFmt w:val="decimal"/>
      <w:start w:val="1"/>
    </w:lvl>
  </w:abstractNum>
  <w:abstractNum w:abstractNumId="304">
    <w:nsid w:val="1D206B8E"/>
    <w:multiLevelType w:val="hybridMultilevel"/>
    <w:lvl w:ilvl="0">
      <w:lvlJc w:val="left"/>
      <w:lvlText w:val="%1."/>
      <w:numFmt w:val="decimal"/>
      <w:start w:val="3"/>
    </w:lvl>
  </w:abstractNum>
  <w:abstractNum w:abstractNumId="305">
    <w:nsid w:val="7934D3D4"/>
    <w:multiLevelType w:val="hybridMultilevel"/>
    <w:lvl w:ilvl="0">
      <w:lvlJc w:val="left"/>
      <w:lvlText w:val="%1."/>
      <w:numFmt w:val="decimal"/>
      <w:start w:val="8"/>
    </w:lvl>
  </w:abstractNum>
  <w:abstractNum w:abstractNumId="306">
    <w:nsid w:val="1C65E98"/>
    <w:multiLevelType w:val="hybridMultilevel"/>
    <w:lvl w:ilvl="0">
      <w:lvlJc w:val="left"/>
      <w:lvlText w:val="%1."/>
      <w:numFmt w:val="decimal"/>
      <w:start w:val="10"/>
    </w:lvl>
  </w:abstractNum>
  <w:abstractNum w:abstractNumId="307">
    <w:nsid w:val="1495E50A"/>
    <w:multiLevelType w:val="hybridMultilevel"/>
    <w:lvl w:ilvl="0">
      <w:lvlJc w:val="left"/>
      <w:lvlText w:val="%1"/>
      <w:numFmt w:val="decimal"/>
      <w:start w:val="1"/>
    </w:lvl>
    <w:lvl w:ilvl="1">
      <w:lvlJc w:val="left"/>
      <w:lvlText w:val="(%2)"/>
      <w:numFmt w:val="lowerLetter"/>
      <w:start w:val="1"/>
    </w:lvl>
  </w:abstractNum>
  <w:abstractNum w:abstractNumId="308">
    <w:nsid w:val="F5BCF61"/>
    <w:multiLevelType w:val="hybridMultilevel"/>
    <w:lvl w:ilvl="0">
      <w:lvlJc w:val="left"/>
      <w:lvlText w:val="%1."/>
      <w:numFmt w:val="decimal"/>
      <w:start w:val="2"/>
    </w:lvl>
    <w:lvl w:ilvl="1">
      <w:lvlJc w:val="left"/>
      <w:lvlText w:val="%2"/>
      <w:numFmt w:val="lowerLetter"/>
      <w:start w:val="1"/>
    </w:lvl>
  </w:abstractNum>
  <w:abstractNum w:abstractNumId="309">
    <w:nsid w:val="3B1DD403"/>
    <w:multiLevelType w:val="hybridMultilevel"/>
    <w:lvl w:ilvl="0">
      <w:lvlJc w:val="left"/>
      <w:lvlText w:val="(%1)"/>
      <w:numFmt w:val="lowerLetter"/>
      <w:start w:val="1"/>
    </w:lvl>
  </w:abstractNum>
  <w:abstractNum w:abstractNumId="310">
    <w:nsid w:val="530386D1"/>
    <w:multiLevelType w:val="hybridMultilevel"/>
    <w:lvl w:ilvl="0">
      <w:lvlJc w:val="left"/>
      <w:lvlText w:val="(%1)"/>
      <w:numFmt w:val="lowerLetter"/>
      <w:start w:val="10"/>
    </w:lvl>
    <w:lvl w:ilvl="1">
      <w:lvlJc w:val="left"/>
      <w:lvlText w:val="(%2)"/>
      <w:numFmt w:val="lowerRoman"/>
      <w:start w:val="1"/>
    </w:lvl>
  </w:abstractNum>
  <w:abstractNum w:abstractNumId="311">
    <w:nsid w:val="7525F2BC"/>
    <w:multiLevelType w:val="hybridMultilevel"/>
    <w:lvl w:ilvl="0">
      <w:lvlJc w:val="left"/>
      <w:lvlText w:val="(%1)"/>
      <w:numFmt w:val="lowerLetter"/>
      <w:start w:val="21"/>
    </w:lvl>
    <w:lvl w:ilvl="1">
      <w:lvlJc w:val="left"/>
      <w:lvlText w:val="(%2)"/>
      <w:numFmt w:val="lowerRoman"/>
      <w:start w:val="1"/>
    </w:lvl>
  </w:abstractNum>
  <w:abstractNum w:abstractNumId="312">
    <w:nsid w:val="CE8E1A7"/>
    <w:multiLevelType w:val="hybridMultilevel"/>
    <w:lvl w:ilvl="0">
      <w:lvlJc w:val="left"/>
      <w:lvlText w:val="(%1)"/>
      <w:numFmt w:val="lowerLetter"/>
      <w:start w:val="27"/>
    </w:lvl>
  </w:abstractNum>
  <w:abstractNum w:abstractNumId="313">
    <w:nsid w:val="4E9EFB0D"/>
    <w:multiLevelType w:val="hybridMultilevel"/>
    <w:lvl w:ilvl="0">
      <w:lvlJc w:val="left"/>
      <w:lvlText w:val="%1"/>
      <w:numFmt w:val="decimal"/>
      <w:start w:val="1"/>
    </w:lvl>
    <w:lvl w:ilvl="1">
      <w:lvlJc w:val="left"/>
      <w:lvlText w:val="(%2)"/>
      <w:numFmt w:val="lowerLetter"/>
      <w:start w:val="1"/>
    </w:lvl>
  </w:abstractNum>
  <w:abstractNum w:abstractNumId="314">
    <w:nsid w:val="90802BE"/>
    <w:multiLevelType w:val="hybridMultilevel"/>
    <w:lvl w:ilvl="0">
      <w:lvlJc w:val="left"/>
      <w:lvlText w:val="%1."/>
      <w:numFmt w:val="decimal"/>
      <w:start w:val="4"/>
    </w:lvl>
    <w:lvl w:ilvl="1">
      <w:lvlJc w:val="left"/>
      <w:lvlText w:val="(%2)"/>
      <w:numFmt w:val="lowerLetter"/>
      <w:start w:val="1"/>
    </w:lvl>
  </w:abstractNum>
  <w:abstractNum w:abstractNumId="315">
    <w:nsid w:val="3266459B"/>
    <w:multiLevelType w:val="hybridMultilevel"/>
    <w:lvl w:ilvl="0">
      <w:lvlJc w:val="left"/>
      <w:lvlText w:val="(%1)"/>
      <w:numFmt w:val="lowerLetter"/>
      <w:start w:val="2"/>
    </w:lvl>
    <w:lvl w:ilvl="1">
      <w:lvlJc w:val="left"/>
      <w:lvlText w:val="(%2)"/>
      <w:numFmt w:val="lowerRoman"/>
      <w:start w:val="1"/>
    </w:lvl>
  </w:abstractNum>
  <w:abstractNum w:abstractNumId="316">
    <w:nsid w:val="3F8B0CBF"/>
    <w:multiLevelType w:val="hybridMultilevel"/>
    <w:lvl w:ilvl="0">
      <w:lvlJc w:val="left"/>
      <w:lvlText w:val="%1."/>
      <w:numFmt w:val="decimal"/>
      <w:start w:val="6"/>
    </w:lvl>
    <w:lvl w:ilvl="1">
      <w:lvlJc w:val="left"/>
      <w:lvlText w:val="(%2)"/>
      <w:numFmt w:val="lowerLetter"/>
      <w:start w:val="1"/>
    </w:lvl>
  </w:abstractNum>
  <w:abstractNum w:abstractNumId="317">
    <w:nsid w:val="37E203AB"/>
    <w:multiLevelType w:val="hybridMultilevel"/>
    <w:lvl w:ilvl="0">
      <w:lvlJc w:val="left"/>
      <w:lvlText w:val="(%1)"/>
      <w:numFmt w:val="lowerLetter"/>
      <w:start w:val="6"/>
    </w:lvl>
  </w:abstractNum>
  <w:abstractNum w:abstractNumId="318">
    <w:nsid w:val="2586D60E"/>
    <w:multiLevelType w:val="hybridMultilevel"/>
    <w:lvl w:ilvl="0">
      <w:lvlJc w:val="left"/>
      <w:lvlText w:val="%1"/>
      <w:numFmt w:val="lowerLetter"/>
      <w:start w:val="1"/>
    </w:lvl>
    <w:lvl w:ilvl="1">
      <w:lvlJc w:val="left"/>
      <w:lvlText w:val="(%2)"/>
      <w:numFmt w:val="lowerLetter"/>
      <w:start w:val="1"/>
    </w:lvl>
  </w:abstractNum>
  <w:abstractNum w:abstractNumId="319">
    <w:nsid w:val="1F3DA4D5"/>
    <w:multiLevelType w:val="hybridMultilevel"/>
    <w:lvl w:ilvl="0">
      <w:lvlJc w:val="left"/>
      <w:lvlText w:val="(%1)"/>
      <w:numFmt w:val="lowerLetter"/>
      <w:start w:val="2"/>
    </w:lvl>
    <w:lvl w:ilvl="1">
      <w:lvlJc w:val="left"/>
      <w:lvlText w:val="%2"/>
      <w:numFmt w:val="lowerLetter"/>
      <w:start w:val="1"/>
    </w:lvl>
  </w:abstractNum>
  <w:abstractNum w:abstractNumId="320">
    <w:nsid w:val="74C9369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21">
    <w:nsid w:val="4878140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22">
    <w:nsid w:val="186928D6"/>
    <w:multiLevelType w:val="hybridMultilevel"/>
    <w:lvl w:ilvl="0">
      <w:lvlJc w:val="left"/>
      <w:lvlText w:val="%1"/>
      <w:numFmt w:val="lowerLetter"/>
      <w:start w:val="1"/>
    </w:lvl>
    <w:lvl w:ilvl="1">
      <w:lvlJc w:val="left"/>
      <w:lvlText w:val="(%2)"/>
      <w:numFmt w:val="lowerRoman"/>
      <w:start w:val="5"/>
    </w:lvl>
  </w:abstractNum>
  <w:abstractNum w:abstractNumId="323">
    <w:nsid w:val="47195E5"/>
    <w:multiLevelType w:val="hybridMultilevel"/>
    <w:lvl w:ilvl="0">
      <w:lvlJc w:val="left"/>
      <w:lvlText w:val="(%1)"/>
      <w:numFmt w:val="lowerLetter"/>
      <w:start w:val="3"/>
    </w:lvl>
    <w:lvl w:ilvl="1">
      <w:lvlJc w:val="left"/>
      <w:lvlText w:val="%2"/>
      <w:numFmt w:val="lowerRoman"/>
      <w:start w:val="1"/>
    </w:lvl>
  </w:abstractNum>
  <w:abstractNum w:abstractNumId="324">
    <w:nsid w:val="3746A5F2"/>
    <w:multiLevelType w:val="hybridMultilevel"/>
    <w:lvl w:ilvl="0">
      <w:lvlJc w:val="left"/>
      <w:lvlText w:val="%1"/>
      <w:numFmt w:val="decimal"/>
      <w:start w:val="1"/>
    </w:lvl>
    <w:lvl w:ilvl="1">
      <w:lvlJc w:val="left"/>
      <w:lvlText w:val="(%2)"/>
      <w:numFmt w:val="lowerLetter"/>
      <w:start w:val="4"/>
    </w:lvl>
  </w:abstractNum>
  <w:abstractNum w:abstractNumId="325">
    <w:nsid w:val="682DFED6"/>
    <w:multiLevelType w:val="hybridMultilevel"/>
    <w:lvl w:ilvl="0">
      <w:lvlJc w:val="left"/>
      <w:lvlText w:val="%1."/>
      <w:numFmt w:val="decimal"/>
      <w:start w:val="9"/>
    </w:lvl>
    <w:lvl w:ilvl="1">
      <w:lvlJc w:val="left"/>
      <w:lvlText w:val="(%2)"/>
      <w:numFmt w:val="lowerLetter"/>
      <w:start w:val="1"/>
    </w:lvl>
  </w:abstractNum>
  <w:abstractNum w:abstractNumId="326">
    <w:nsid w:val="606ED7F6"/>
    <w:multiLevelType w:val="hybridMultilevel"/>
    <w:lvl w:ilvl="0">
      <w:lvlJc w:val="left"/>
      <w:lvlText w:val="(%1)"/>
      <w:numFmt w:val="lowerLetter"/>
      <w:start w:val="3"/>
    </w:lvl>
    <w:lvl w:ilvl="1">
      <w:lvlJc w:val="left"/>
      <w:lvlText w:val="(%2)"/>
      <w:numFmt w:val="lowerRoman"/>
      <w:start w:val="1"/>
    </w:lvl>
  </w:abstractNum>
  <w:abstractNum w:abstractNumId="327">
    <w:nsid w:val="2D9DF57D"/>
    <w:multiLevelType w:val="hybridMultilevel"/>
    <w:lvl w:ilvl="0">
      <w:lvlJc w:val="left"/>
      <w:lvlText w:val="(%1)"/>
      <w:numFmt w:val="lowerLetter"/>
      <w:start w:val="9"/>
    </w:lvl>
    <w:lvl w:ilvl="1">
      <w:lvlJc w:val="left"/>
      <w:lvlText w:val="%2"/>
      <w:numFmt w:val="lowerRoman"/>
      <w:start w:val="1"/>
    </w:lvl>
  </w:abstractNum>
  <w:abstractNum w:abstractNumId="328">
    <w:nsid w:val="7FBD7A3E"/>
    <w:multiLevelType w:val="hybridMultilevel"/>
    <w:lvl w:ilvl="0">
      <w:lvlJc w:val="left"/>
      <w:lvlText w:val="(%1)"/>
      <w:numFmt w:val="lowerLetter"/>
      <w:start w:val="5"/>
    </w:lvl>
    <w:lvl w:ilvl="1">
      <w:lvlJc w:val="left"/>
      <w:lvlText w:val="%2"/>
      <w:numFmt w:val="lowerRoman"/>
      <w:start w:val="1"/>
    </w:lvl>
  </w:abstractNum>
  <w:abstractNum w:abstractNumId="329">
    <w:nsid w:val="490B7C5"/>
    <w:multiLevelType w:val="hybridMultilevel"/>
    <w:lvl w:ilvl="0">
      <w:lvlJc w:val="left"/>
      <w:lvlText w:val="(%1)"/>
      <w:numFmt w:val="lowerLetter"/>
      <w:start w:val="10"/>
    </w:lvl>
  </w:abstractNum>
  <w:abstractNum w:abstractNumId="330">
    <w:nsid w:val="4303A216"/>
    <w:multiLevelType w:val="hybridMultilevel"/>
    <w:lvl w:ilvl="0">
      <w:lvlJc w:val="left"/>
      <w:lvlText w:val="1"/>
      <w:numFmt w:val="bullet"/>
      <w:start w:val="1"/>
    </w:lvl>
  </w:abstractNum>
  <w:abstractNum w:abstractNumId="331">
    <w:nsid w:val="19B8A08E"/>
    <w:multiLevelType w:val="hybridMultilevel"/>
    <w:lvl w:ilvl="0">
      <w:lvlJc w:val="left"/>
      <w:lvlText w:val="(%1)"/>
      <w:numFmt w:val="lowerLetter"/>
      <w:start w:val="1"/>
    </w:lvl>
  </w:abstractNum>
  <w:abstractNum w:abstractNumId="332">
    <w:nsid w:val="54B59621"/>
    <w:multiLevelType w:val="hybridMultilevel"/>
    <w:lvl w:ilvl="0">
      <w:lvlJc w:val="left"/>
      <w:lvlText w:val="2"/>
      <w:numFmt w:val="bullet"/>
      <w:start w:val="1"/>
    </w:lvl>
  </w:abstractNum>
  <w:abstractNum w:abstractNumId="333">
    <w:nsid w:val="5992A02E"/>
    <w:multiLevelType w:val="hybridMultilevel"/>
    <w:lvl w:ilvl="0">
      <w:lvlJc w:val="left"/>
      <w:lvlText w:val="(%1)"/>
      <w:numFmt w:val="lowerLetter"/>
      <w:start w:val="1"/>
    </w:lvl>
  </w:abstractNum>
  <w:abstractNum w:abstractNumId="334">
    <w:nsid w:val="29EF532D"/>
    <w:multiLevelType w:val="hybridMultilevel"/>
    <w:lvl w:ilvl="0">
      <w:lvlJc w:val="left"/>
      <w:lvlText w:val="3"/>
      <w:numFmt w:val="bullet"/>
      <w:start w:val="1"/>
    </w:lvl>
  </w:abstractNum>
  <w:abstractNum w:abstractNumId="335">
    <w:nsid w:val="71D601AF"/>
    <w:multiLevelType w:val="hybridMultilevel"/>
    <w:lvl w:ilvl="0">
      <w:lvlJc w:val="left"/>
      <w:lvlText w:val="(%1)"/>
      <w:numFmt w:val="lowerLetter"/>
      <w:start w:val="1"/>
    </w:lvl>
  </w:abstractNum>
  <w:abstractNum w:abstractNumId="336">
    <w:nsid w:val="52C77402"/>
    <w:multiLevelType w:val="hybridMultilevel"/>
    <w:lvl w:ilvl="0">
      <w:lvlJc w:val="left"/>
      <w:lvlText w:val="(%1)"/>
      <w:numFmt w:val="lowerLetter"/>
      <w:start w:val="1"/>
    </w:lvl>
  </w:abstractNum>
  <w:abstractNum w:abstractNumId="337">
    <w:nsid w:val="2BB5B1C6"/>
    <w:multiLevelType w:val="hybridMultilevel"/>
    <w:lvl w:ilvl="0">
      <w:lvlJc w:val="left"/>
      <w:lvlText w:val="(%1)"/>
      <w:numFmt w:val="lowerLetter"/>
      <w:start w:val="1"/>
    </w:lvl>
  </w:abstractNum>
  <w:abstractNum w:abstractNumId="338">
    <w:nsid w:val="66BE6B9"/>
    <w:multiLevelType w:val="hybridMultilevel"/>
    <w:lvl w:ilvl="0">
      <w:lvlJc w:val="left"/>
      <w:lvlText w:val="(%1)"/>
      <w:numFmt w:val="lowerLetter"/>
      <w:start w:val="2"/>
    </w:lvl>
  </w:abstractNum>
  <w:abstractNum w:abstractNumId="339">
    <w:nsid w:val="62234363"/>
    <w:multiLevelType w:val="hybridMultilevel"/>
    <w:lvl w:ilvl="0">
      <w:lvlJc w:val="left"/>
      <w:lvlText w:val="(%1)"/>
      <w:numFmt w:val="lowerLetter"/>
      <w:start w:val="1"/>
    </w:lvl>
  </w:abstractNum>
  <w:abstractNum w:abstractNumId="340">
    <w:nsid w:val="66D385C9"/>
    <w:multiLevelType w:val="hybridMultilevel"/>
    <w:lvl w:ilvl="0">
      <w:lvlJc w:val="left"/>
      <w:lvlText w:val="(%1)"/>
      <w:numFmt w:val="lowerLetter"/>
      <w:start w:val="1"/>
    </w:lvl>
  </w:abstractNum>
  <w:abstractNum w:abstractNumId="341">
    <w:nsid w:val="596F6D8A"/>
    <w:multiLevelType w:val="hybridMultilevel"/>
    <w:lvl w:ilvl="0">
      <w:lvlJc w:val="left"/>
      <w:lvlText w:val="(%1)"/>
      <w:numFmt w:val="lowerLetter"/>
      <w:start w:val="1"/>
    </w:lvl>
  </w:abstractNum>
  <w:abstractNum w:abstractNumId="342">
    <w:nsid w:val="5749361F"/>
    <w:multiLevelType w:val="hybridMultilevel"/>
    <w:lvl w:ilvl="0">
      <w:lvlJc w:val="left"/>
      <w:lvlText w:val="4"/>
      <w:numFmt w:val="bullet"/>
      <w:start w:val="1"/>
    </w:lvl>
  </w:abstractNum>
  <w:abstractNum w:abstractNumId="343">
    <w:nsid w:val="73BC6770"/>
    <w:multiLevelType w:val="hybridMultilevel"/>
    <w:lvl w:ilvl="0">
      <w:lvlJc w:val="left"/>
      <w:lvlText w:val="5"/>
      <w:numFmt w:val="bullet"/>
      <w:start w:val="1"/>
    </w:lvl>
  </w:abstractNum>
  <w:abstractNum w:abstractNumId="344">
    <w:nsid w:val="280E6897"/>
    <w:multiLevelType w:val="hybridMultilevel"/>
    <w:lvl w:ilvl="0">
      <w:lvlJc w:val="left"/>
      <w:lvlText w:val="(%1)"/>
      <w:numFmt w:val="lowerLetter"/>
      <w:start w:val="1"/>
    </w:lvl>
  </w:abstractNum>
  <w:abstractNum w:abstractNumId="345">
    <w:nsid w:val="605138DE"/>
    <w:multiLevelType w:val="hybridMultilevel"/>
    <w:lvl w:ilvl="0">
      <w:lvlJc w:val="left"/>
      <w:lvlText w:val="(%1)"/>
      <w:numFmt w:val="lowerLetter"/>
      <w:start w:val="1"/>
    </w:lvl>
  </w:abstractNum>
  <w:abstractNum w:abstractNumId="346">
    <w:nsid w:val="2622AD0C"/>
    <w:multiLevelType w:val="hybridMultilevel"/>
    <w:lvl w:ilvl="0">
      <w:lvlJc w:val="left"/>
      <w:lvlText w:val="(%1)"/>
      <w:numFmt w:val="lowerLetter"/>
      <w:start w:val="1"/>
    </w:lvl>
  </w:abstractNum>
  <w:abstractNum w:abstractNumId="347">
    <w:nsid w:val="67997556"/>
    <w:multiLevelType w:val="hybridMultilevel"/>
    <w:lvl w:ilvl="0">
      <w:lvlJc w:val="left"/>
      <w:lvlText w:val="6"/>
      <w:numFmt w:val="bullet"/>
      <w:start w:val="1"/>
    </w:lvl>
  </w:abstractNum>
  <w:abstractNum w:abstractNumId="348">
    <w:nsid w:val="18333C89"/>
    <w:multiLevelType w:val="hybridMultilevel"/>
    <w:lvl w:ilvl="0">
      <w:lvlJc w:val="left"/>
      <w:lvlText w:val="(%1)"/>
      <w:numFmt w:val="lowerLetter"/>
      <w:start w:val="1"/>
    </w:lvl>
  </w:abstractNum>
  <w:abstractNum w:abstractNumId="349">
    <w:nsid w:val="4BA9831A"/>
    <w:multiLevelType w:val="hybridMultilevel"/>
    <w:lvl w:ilvl="0">
      <w:lvlJc w:val="left"/>
      <w:lvlText w:val="(%1)"/>
      <w:numFmt w:val="lowerLetter"/>
      <w:start w:val="3"/>
    </w:lvl>
  </w:abstractNum>
  <w:abstractNum w:abstractNumId="350">
    <w:nsid w:val="6D71A2B"/>
    <w:multiLevelType w:val="hybridMultilevel"/>
    <w:lvl w:ilvl="0">
      <w:lvlJc w:val="left"/>
      <w:lvlText w:val="7"/>
      <w:numFmt w:val="bullet"/>
      <w:start w:val="1"/>
    </w:lvl>
  </w:abstractNum>
  <w:abstractNum w:abstractNumId="351">
    <w:nsid w:val="CFC7321"/>
    <w:multiLevelType w:val="hybridMultilevel"/>
    <w:lvl w:ilvl="0">
      <w:lvlJc w:val="left"/>
      <w:lvlText w:val="8"/>
      <w:numFmt w:val="bullet"/>
      <w:start w:val="1"/>
    </w:lvl>
  </w:abstractNum>
  <w:abstractNum w:abstractNumId="352">
    <w:nsid w:val="1421971B"/>
    <w:multiLevelType w:val="hybridMultilevel"/>
    <w:lvl w:ilvl="0">
      <w:lvlJc w:val="left"/>
      <w:lvlText w:val="9"/>
      <w:numFmt w:val="bullet"/>
      <w:start w:val="1"/>
    </w:lvl>
  </w:abstractNum>
  <w:abstractNum w:abstractNumId="353">
    <w:nsid w:val="1F404301"/>
    <w:multiLevelType w:val="hybridMultilevel"/>
    <w:lvl w:ilvl="0">
      <w:lvlJc w:val="left"/>
      <w:lvlText w:val="%1."/>
      <w:numFmt w:val="decimal"/>
      <w:start w:val="1"/>
    </w:lvl>
    <w:lvl w:ilvl="1">
      <w:lvlJc w:val="left"/>
      <w:lvlText w:val="(%2)"/>
      <w:numFmt w:val="lowerLetter"/>
      <w:start w:val="1"/>
    </w:lvl>
  </w:abstractNum>
  <w:abstractNum w:abstractNumId="354">
    <w:nsid w:val="116E0907"/>
    <w:multiLevelType w:val="hybridMultilevel"/>
    <w:lvl w:ilvl="0">
      <w:lvlJc w:val="left"/>
      <w:lvlText w:val="%1."/>
      <w:numFmt w:val="decimal"/>
      <w:start w:val="1"/>
    </w:lvl>
    <w:lvl w:ilvl="1">
      <w:lvlJc w:val="left"/>
      <w:lvlText w:val="(%2)"/>
      <w:numFmt w:val="lowerLetter"/>
      <w:start w:val="1"/>
    </w:lvl>
  </w:abstractNum>
  <w:abstractNum w:abstractNumId="355">
    <w:nsid w:val="4B683D0D"/>
    <w:multiLevelType w:val="hybridMultilevel"/>
    <w:lvl w:ilvl="0">
      <w:lvlJc w:val="left"/>
      <w:lvlText w:val="%1."/>
      <w:numFmt w:val="decimal"/>
      <w:start w:val="1"/>
    </w:lvl>
  </w:abstractNum>
  <w:abstractNum w:abstractNumId="356">
    <w:nsid w:val="76E41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png"/><Relationship Id="rId304"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09" Type="http://schemas.openxmlformats.org/officeDocument/2006/relationships/image" Target="media/image283.png"/><Relationship Id="rId310" Type="http://schemas.openxmlformats.org/officeDocument/2006/relationships/image" Target="media/image284.png"/><Relationship Id="rId311" Type="http://schemas.openxmlformats.org/officeDocument/2006/relationships/image" Target="media/image285.png"/><Relationship Id="rId312" Type="http://schemas.openxmlformats.org/officeDocument/2006/relationships/image" Target="media/image286.png"/><Relationship Id="rId313" Type="http://schemas.openxmlformats.org/officeDocument/2006/relationships/image" Target="media/image287.png"/><Relationship Id="rId314" Type="http://schemas.openxmlformats.org/officeDocument/2006/relationships/image" Target="media/image288.png"/><Relationship Id="rId315" Type="http://schemas.openxmlformats.org/officeDocument/2006/relationships/image" Target="media/image289.png"/><Relationship Id="rId316" Type="http://schemas.openxmlformats.org/officeDocument/2006/relationships/image" Target="media/image290.png"/><Relationship Id="rId317" Type="http://schemas.openxmlformats.org/officeDocument/2006/relationships/image" Target="media/image291.png"/><Relationship Id="rId318" Type="http://schemas.openxmlformats.org/officeDocument/2006/relationships/image" Target="media/image292.png"/><Relationship Id="rId319" Type="http://schemas.openxmlformats.org/officeDocument/2006/relationships/image" Target="media/image293.png"/><Relationship Id="rId320" Type="http://schemas.openxmlformats.org/officeDocument/2006/relationships/image" Target="media/image294.png"/><Relationship Id="rId321" Type="http://schemas.openxmlformats.org/officeDocument/2006/relationships/image" Target="media/image295.png"/><Relationship Id="rId322" Type="http://schemas.openxmlformats.org/officeDocument/2006/relationships/image" Target="media/image296.png"/><Relationship Id="rId323" Type="http://schemas.openxmlformats.org/officeDocument/2006/relationships/image" Target="media/image297.png"/><Relationship Id="rId324" Type="http://schemas.openxmlformats.org/officeDocument/2006/relationships/image" Target="media/image298.png"/><Relationship Id="rId325" Type="http://schemas.openxmlformats.org/officeDocument/2006/relationships/image" Target="media/image299.png"/><Relationship Id="rId326" Type="http://schemas.openxmlformats.org/officeDocument/2006/relationships/image" Target="media/image300.png"/><Relationship Id="rId327" Type="http://schemas.openxmlformats.org/officeDocument/2006/relationships/image" Target="media/image301.png"/><Relationship Id="rId328" Type="http://schemas.openxmlformats.org/officeDocument/2006/relationships/image" Target="media/image302.png"/><Relationship Id="rId329" Type="http://schemas.openxmlformats.org/officeDocument/2006/relationships/image" Target="media/image303.png"/><Relationship Id="rId330" Type="http://schemas.openxmlformats.org/officeDocument/2006/relationships/image" Target="media/image304.png"/><Relationship Id="rId331" Type="http://schemas.openxmlformats.org/officeDocument/2006/relationships/image" Target="media/image305.png"/><Relationship Id="rId332" Type="http://schemas.openxmlformats.org/officeDocument/2006/relationships/image" Target="media/image306.png"/><Relationship Id="rId333" Type="http://schemas.openxmlformats.org/officeDocument/2006/relationships/image" Target="media/image307.png"/><Relationship Id="rId334" Type="http://schemas.openxmlformats.org/officeDocument/2006/relationships/image" Target="media/image308.png"/><Relationship Id="rId335" Type="http://schemas.openxmlformats.org/officeDocument/2006/relationships/image" Target="media/image309.png"/><Relationship Id="rId336" Type="http://schemas.openxmlformats.org/officeDocument/2006/relationships/image" Target="media/image310.png"/><Relationship Id="rId337" Type="http://schemas.openxmlformats.org/officeDocument/2006/relationships/image" Target="media/image311.png"/><Relationship Id="rId338" Type="http://schemas.openxmlformats.org/officeDocument/2006/relationships/image" Target="media/image312.png"/><Relationship Id="rId339" Type="http://schemas.openxmlformats.org/officeDocument/2006/relationships/image" Target="media/image313.png"/><Relationship Id="rId340" Type="http://schemas.openxmlformats.org/officeDocument/2006/relationships/image" Target="media/image314.png"/><Relationship Id="rId341" Type="http://schemas.openxmlformats.org/officeDocument/2006/relationships/image" Target="media/image315.png"/><Relationship Id="rId342" Type="http://schemas.openxmlformats.org/officeDocument/2006/relationships/image" Target="media/image316.png"/><Relationship Id="rId343" Type="http://schemas.openxmlformats.org/officeDocument/2006/relationships/image" Target="media/image317.png"/><Relationship Id="rId344" Type="http://schemas.openxmlformats.org/officeDocument/2006/relationships/image" Target="media/image318.png"/><Relationship Id="rId345" Type="http://schemas.openxmlformats.org/officeDocument/2006/relationships/image" Target="media/image319.png"/><Relationship Id="rId346" Type="http://schemas.openxmlformats.org/officeDocument/2006/relationships/image" Target="media/image320.png"/><Relationship Id="rId347" Type="http://schemas.openxmlformats.org/officeDocument/2006/relationships/image" Target="media/image321.png"/><Relationship Id="rId348" Type="http://schemas.openxmlformats.org/officeDocument/2006/relationships/image" Target="media/image322.png"/><Relationship Id="rId349" Type="http://schemas.openxmlformats.org/officeDocument/2006/relationships/image" Target="media/image323.png"/><Relationship Id="rId350" Type="http://schemas.openxmlformats.org/officeDocument/2006/relationships/image" Target="media/image324.png"/><Relationship Id="rId351" Type="http://schemas.openxmlformats.org/officeDocument/2006/relationships/image" Target="media/image325.png"/><Relationship Id="rId352" Type="http://schemas.openxmlformats.org/officeDocument/2006/relationships/image" Target="media/image326.png"/><Relationship Id="rId353" Type="http://schemas.openxmlformats.org/officeDocument/2006/relationships/image" Target="media/image327.png"/><Relationship Id="rId354" Type="http://schemas.openxmlformats.org/officeDocument/2006/relationships/image" Target="media/image328.png"/><Relationship Id="rId355" Type="http://schemas.openxmlformats.org/officeDocument/2006/relationships/image" Target="media/image329.png"/><Relationship Id="rId356" Type="http://schemas.openxmlformats.org/officeDocument/2006/relationships/image" Target="media/image330.png"/><Relationship Id="rId357" Type="http://schemas.openxmlformats.org/officeDocument/2006/relationships/image" Target="media/image331.png"/><Relationship Id="rId358" Type="http://schemas.openxmlformats.org/officeDocument/2006/relationships/image" Target="media/image332.png"/><Relationship Id="rId359" Type="http://schemas.openxmlformats.org/officeDocument/2006/relationships/image" Target="media/image333.png"/><Relationship Id="rId360" Type="http://schemas.openxmlformats.org/officeDocument/2006/relationships/image" Target="media/image334.png"/><Relationship Id="rId361" Type="http://schemas.openxmlformats.org/officeDocument/2006/relationships/image" Target="media/image335.png"/><Relationship Id="rId362" Type="http://schemas.openxmlformats.org/officeDocument/2006/relationships/image" Target="media/image336.png"/><Relationship Id="rId363" Type="http://schemas.openxmlformats.org/officeDocument/2006/relationships/image" Target="media/image337.png"/><Relationship Id="rId364" Type="http://schemas.openxmlformats.org/officeDocument/2006/relationships/image" Target="media/image338.png"/><Relationship Id="rId365" Type="http://schemas.openxmlformats.org/officeDocument/2006/relationships/image" Target="media/image339.png"/><Relationship Id="rId366" Type="http://schemas.openxmlformats.org/officeDocument/2006/relationships/image" Target="media/image340.png"/><Relationship Id="rId367" Type="http://schemas.openxmlformats.org/officeDocument/2006/relationships/image" Target="media/image341.png"/><Relationship Id="rId368" Type="http://schemas.openxmlformats.org/officeDocument/2006/relationships/image" Target="media/image342.png"/><Relationship Id="rId369" Type="http://schemas.openxmlformats.org/officeDocument/2006/relationships/image" Target="media/image343.png"/><Relationship Id="rId370" Type="http://schemas.openxmlformats.org/officeDocument/2006/relationships/image" Target="media/image344.png"/><Relationship Id="rId371" Type="http://schemas.openxmlformats.org/officeDocument/2006/relationships/image" Target="media/image345.png"/><Relationship Id="rId372" Type="http://schemas.openxmlformats.org/officeDocument/2006/relationships/image" Target="media/image346.png"/><Relationship Id="rId373" Type="http://schemas.openxmlformats.org/officeDocument/2006/relationships/image" Target="media/image347.png"/><Relationship Id="rId374" Type="http://schemas.openxmlformats.org/officeDocument/2006/relationships/image" Target="media/image348.png"/><Relationship Id="rId375" Type="http://schemas.openxmlformats.org/officeDocument/2006/relationships/image" Target="media/image349.png"/><Relationship Id="rId376" Type="http://schemas.openxmlformats.org/officeDocument/2006/relationships/image" Target="media/image350.png"/><Relationship Id="rId377" Type="http://schemas.openxmlformats.org/officeDocument/2006/relationships/image" Target="media/image351.png"/><Relationship Id="rId378" Type="http://schemas.openxmlformats.org/officeDocument/2006/relationships/image" Target="media/image352.png"/><Relationship Id="rId379" Type="http://schemas.openxmlformats.org/officeDocument/2006/relationships/image" Target="media/image353.png"/><Relationship Id="rId380" Type="http://schemas.openxmlformats.org/officeDocument/2006/relationships/image" Target="media/image354.png"/><Relationship Id="rId381" Type="http://schemas.openxmlformats.org/officeDocument/2006/relationships/image" Target="media/image355.png"/><Relationship Id="rId382" Type="http://schemas.openxmlformats.org/officeDocument/2006/relationships/image" Target="media/image356.png"/><Relationship Id="rId383" Type="http://schemas.openxmlformats.org/officeDocument/2006/relationships/image" Target="media/image357.png"/><Relationship Id="rId384" Type="http://schemas.openxmlformats.org/officeDocument/2006/relationships/image" Target="media/image358.png"/><Relationship Id="rId385" Type="http://schemas.openxmlformats.org/officeDocument/2006/relationships/image" Target="media/image359.png"/><Relationship Id="rId386" Type="http://schemas.openxmlformats.org/officeDocument/2006/relationships/image" Target="media/image360.png"/><Relationship Id="rId387" Type="http://schemas.openxmlformats.org/officeDocument/2006/relationships/image" Target="media/image361.png"/><Relationship Id="rId388" Type="http://schemas.openxmlformats.org/officeDocument/2006/relationships/image" Target="media/image362.png"/><Relationship Id="rId389" Type="http://schemas.openxmlformats.org/officeDocument/2006/relationships/image" Target="media/image363.png"/><Relationship Id="rId390" Type="http://schemas.openxmlformats.org/officeDocument/2006/relationships/image" Target="media/image364.png"/><Relationship Id="rId391" Type="http://schemas.openxmlformats.org/officeDocument/2006/relationships/image" Target="media/image365.png"/><Relationship Id="rId392" Type="http://schemas.openxmlformats.org/officeDocument/2006/relationships/image" Target="media/image366.png"/><Relationship Id="rId393" Type="http://schemas.openxmlformats.org/officeDocument/2006/relationships/image" Target="media/image367.png"/><Relationship Id="rId394" Type="http://schemas.openxmlformats.org/officeDocument/2006/relationships/image" Target="media/image368.png"/><Relationship Id="rId395" Type="http://schemas.openxmlformats.org/officeDocument/2006/relationships/image" Target="media/image369.png"/><Relationship Id="rId396" Type="http://schemas.openxmlformats.org/officeDocument/2006/relationships/image" Target="media/image370.png"/><Relationship Id="rId397" Type="http://schemas.openxmlformats.org/officeDocument/2006/relationships/image" Target="media/image371.png"/><Relationship Id="rId398" Type="http://schemas.openxmlformats.org/officeDocument/2006/relationships/image" Target="media/image372.png"/><Relationship Id="rId399" Type="http://schemas.openxmlformats.org/officeDocument/2006/relationships/image" Target="media/image373.png"/><Relationship Id="rId400" Type="http://schemas.openxmlformats.org/officeDocument/2006/relationships/image" Target="media/image374.png"/><Relationship Id="rId401" Type="http://schemas.openxmlformats.org/officeDocument/2006/relationships/image" Target="media/image375.png"/><Relationship Id="rId402" Type="http://schemas.openxmlformats.org/officeDocument/2006/relationships/image" Target="media/image376.png"/><Relationship Id="rId403" Type="http://schemas.openxmlformats.org/officeDocument/2006/relationships/image" Target="media/image377.png"/><Relationship Id="rId404" Type="http://schemas.openxmlformats.org/officeDocument/2006/relationships/image" Target="media/image378.png"/><Relationship Id="rId405" Type="http://schemas.openxmlformats.org/officeDocument/2006/relationships/image" Target="media/image379.png"/><Relationship Id="rId406" Type="http://schemas.openxmlformats.org/officeDocument/2006/relationships/image" Target="media/image380.png"/><Relationship Id="rId407" Type="http://schemas.openxmlformats.org/officeDocument/2006/relationships/image" Target="media/image381.jpeg"/><Relationship Id="rId408" Type="http://schemas.openxmlformats.org/officeDocument/2006/relationships/image" Target="media/image382.png"/><Relationship Id="rId409" Type="http://schemas.openxmlformats.org/officeDocument/2006/relationships/image" Target="media/image383.png"/><Relationship Id="rId410" Type="http://schemas.openxmlformats.org/officeDocument/2006/relationships/image" Target="media/image384.png"/><Relationship Id="rId411" Type="http://schemas.openxmlformats.org/officeDocument/2006/relationships/image" Target="media/image385.png"/><Relationship Id="rId412" Type="http://schemas.openxmlformats.org/officeDocument/2006/relationships/image" Target="media/image386.png"/><Relationship Id="rId413" Type="http://schemas.openxmlformats.org/officeDocument/2006/relationships/image" Target="media/image387.png"/><Relationship Id="rId414" Type="http://schemas.openxmlformats.org/officeDocument/2006/relationships/image" Target="media/image388.png"/><Relationship Id="rId415" Type="http://schemas.openxmlformats.org/officeDocument/2006/relationships/image" Target="media/image389.png"/><Relationship Id="rId416" Type="http://schemas.openxmlformats.org/officeDocument/2006/relationships/image" Target="media/image390.png"/><Relationship Id="rId417" Type="http://schemas.openxmlformats.org/officeDocument/2006/relationships/image" Target="media/image391.png"/><Relationship Id="rId418" Type="http://schemas.openxmlformats.org/officeDocument/2006/relationships/image" Target="media/image392.png"/><Relationship Id="rId419" Type="http://schemas.openxmlformats.org/officeDocument/2006/relationships/image" Target="media/image393.png"/><Relationship Id="rId420" Type="http://schemas.openxmlformats.org/officeDocument/2006/relationships/image" Target="media/image394.png"/><Relationship Id="rId421" Type="http://schemas.openxmlformats.org/officeDocument/2006/relationships/image" Target="media/image395.png"/><Relationship Id="rId422" Type="http://schemas.openxmlformats.org/officeDocument/2006/relationships/image" Target="media/image396.png"/><Relationship Id="rId423" Type="http://schemas.openxmlformats.org/officeDocument/2006/relationships/image" Target="media/image397.png"/><Relationship Id="rId424" Type="http://schemas.openxmlformats.org/officeDocument/2006/relationships/image" Target="media/image398.png"/><Relationship Id="rId425" Type="http://schemas.openxmlformats.org/officeDocument/2006/relationships/image" Target="media/image399.png"/><Relationship Id="rId426" Type="http://schemas.openxmlformats.org/officeDocument/2006/relationships/image" Target="media/image400.png"/><Relationship Id="rId427" Type="http://schemas.openxmlformats.org/officeDocument/2006/relationships/image" Target="media/image401.png"/><Relationship Id="rId428" Type="http://schemas.openxmlformats.org/officeDocument/2006/relationships/image" Target="media/image402.png"/><Relationship Id="rId429" Type="http://schemas.openxmlformats.org/officeDocument/2006/relationships/image" Target="media/image403.png"/><Relationship Id="rId430" Type="http://schemas.openxmlformats.org/officeDocument/2006/relationships/image" Target="media/image404.png"/><Relationship Id="rId431" Type="http://schemas.openxmlformats.org/officeDocument/2006/relationships/image" Target="media/image405.png"/><Relationship Id="rId432" Type="http://schemas.openxmlformats.org/officeDocument/2006/relationships/image" Target="media/image406.png"/><Relationship Id="rId433" Type="http://schemas.openxmlformats.org/officeDocument/2006/relationships/image" Target="media/image407.png"/><Relationship Id="rId434" Type="http://schemas.openxmlformats.org/officeDocument/2006/relationships/image" Target="media/image408.png"/><Relationship Id="rId435" Type="http://schemas.openxmlformats.org/officeDocument/2006/relationships/image" Target="media/image409.png"/><Relationship Id="rId436" Type="http://schemas.openxmlformats.org/officeDocument/2006/relationships/image" Target="media/image410.png"/><Relationship Id="rId437" Type="http://schemas.openxmlformats.org/officeDocument/2006/relationships/image" Target="media/image411.png"/><Relationship Id="rId438" Type="http://schemas.openxmlformats.org/officeDocument/2006/relationships/image" Target="media/image412.png"/><Relationship Id="rId439" Type="http://schemas.openxmlformats.org/officeDocument/2006/relationships/image" Target="media/image413.png"/><Relationship Id="rId440" Type="http://schemas.openxmlformats.org/officeDocument/2006/relationships/image" Target="media/image414.png"/><Relationship Id="rId441" Type="http://schemas.openxmlformats.org/officeDocument/2006/relationships/image" Target="media/image415.png"/><Relationship Id="rId243" Type="http://schemas.openxmlformats.org/officeDocument/2006/relationships/hyperlink" Target="https://www.sec.gov/Archives/edgar/data/2007191/000114036124043618/ny20034211x3_ex1-1.htm" TargetMode="External"/><Relationship Id="rId244" Type="http://schemas.openxmlformats.org/officeDocument/2006/relationships/hyperlink" Target="https://www.sec.gov/Archives/edgar/data/2007191/000114036124043618/ny20034211x3_ex1-2.htm" TargetMode="External"/><Relationship Id="rId245" Type="http://schemas.openxmlformats.org/officeDocument/2006/relationships/hyperlink" Target="https://www.sec.gov/Archives/edgar/data/2007191/000114036124043618/ny20034211x3_ex2-1.htm" TargetMode="External"/><Relationship Id="rId246" Type="http://schemas.openxmlformats.org/officeDocument/2006/relationships/hyperlink" Target="https://www.sec.gov/Archives/edgar/data/2007191/000114036124043618/ny20034211x3_ex4-1.htm" TargetMode="External"/><Relationship Id="rId247" Type="http://schemas.openxmlformats.org/officeDocument/2006/relationships/hyperlink" Target="https://www.sec.gov/Archives/edgar/data/2007191/000114036124043618/ny20034211x3_ex4-2.htm" TargetMode="External"/><Relationship Id="rId248" Type="http://schemas.openxmlformats.org/officeDocument/2006/relationships/hyperlink" Target="https://www.sec.gov/Archives/edgar/data/2007191/000114036124043618/ny20034211x3_ex4-3.htm" TargetMode="External"/><Relationship Id="rId249" Type="http://schemas.openxmlformats.org/officeDocument/2006/relationships/hyperlink" Target="https://www.sec.gov/Archives/edgar/data/2007191/000114036124043618/ny20034211x3_ex4-4.htm" TargetMode="External"/><Relationship Id="rId250" Type="http://schemas.openxmlformats.org/officeDocument/2006/relationships/hyperlink" Target="https://www.sec.gov/Archives/edgar/data/2007191/000114036124043618/ny20034211x3_ex4-5.htm" TargetMode="External"/><Relationship Id="rId251" Type="http://schemas.openxmlformats.org/officeDocument/2006/relationships/hyperlink" Target="https://www.sec.gov/Archives/edgar/data/2007191/000114036124043618/ny20034211x3_ex4-6.htm" TargetMode="External"/><Relationship Id="rId252" Type="http://schemas.openxmlformats.org/officeDocument/2006/relationships/hyperlink" Target="https://www.sec.gov/Archives/edgar/data/2007191/000114036124043618/ny20034211x3_ex4-7.htm" TargetMode="External"/><Relationship Id="rId253" Type="http://schemas.openxmlformats.org/officeDocument/2006/relationships/hyperlink" Target="https://www.sec.gov/Archives/edgar/data/2007191/000114036124043618/ny20034211x3_ex4-9.htm" TargetMode="External"/><Relationship Id="rId254" Type="http://schemas.openxmlformats.org/officeDocument/2006/relationships/hyperlink" Target="https://www.sec.gov/Archives/edgar/data/2007191/000114036124043618/ny20034211x3_ex4-10.htm" TargetMode="External"/><Relationship Id="rId255" Type="http://schemas.openxmlformats.org/officeDocument/2006/relationships/hyperlink" Target="https://www.sec.gov/Archives/edgar/data/2007191/000114036124043618/ny20034211x3_ex4-11.htm" TargetMode="External"/><Relationship Id="rId256" Type="http://schemas.openxmlformats.org/officeDocument/2006/relationships/hyperlink" Target="https://www.sec.gov/Archives/edgar/data/2007191/000114036124043618/ny20034211x3_ex4-12.htm" TargetMode="External"/><Relationship Id="rId257" Type="http://schemas.openxmlformats.org/officeDocument/2006/relationships/hyperlink" Target="https://www.sec.gov/Archives/edgar/data/2007191/000114036124043618/ny20034211x3_ex4-13.htm" TargetMode="External"/><Relationship Id="rId258" Type="http://schemas.openxmlformats.org/officeDocument/2006/relationships/hyperlink" Target="https://www.sec.gov/Archives/edgar/data/2007191/000114036124043618/ny20034211x3_ex4-14.htm" TargetMode="External"/><Relationship Id="rId259" Type="http://schemas.openxmlformats.org/officeDocument/2006/relationships/hyperlink" Target="https://www.sec.gov/Archives/edgar/data/2007191/000114036124043618/ny20034211x3_ex4-15.htm" TargetMode="External"/><Relationship Id="rId260" Type="http://schemas.openxmlformats.org/officeDocument/2006/relationships/hyperlink" Target="https://www.sec.gov/Archives/edgar/data/2007191/000114036124043618/ny20034211x3_ex4-16.htm" TargetMode="External"/><Relationship Id="rId261" Type="http://schemas.openxmlformats.org/officeDocument/2006/relationships/hyperlink" Target="https://www.sec.gov/Archives/edgar/data/2007191/000114036124043618/ny20034211x3_ex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2025-02-24T06:14:27Z</dcterms:created>
  <dcterms:modified xsi:type="dcterms:W3CDTF">2025-02-24T06:14:27Z</dcterms:modified>
</cp:coreProperties>
</file>